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C14" w:rsidRDefault="004037D9">
      <w:pPr>
        <w:spacing w:after="0" w:line="259" w:lineRule="auto"/>
        <w:ind w:left="0" w:right="24" w:firstLine="0"/>
        <w:jc w:val="center"/>
      </w:pPr>
      <w:bookmarkStart w:id="0" w:name="_GoBack"/>
      <w:bookmarkEnd w:id="0"/>
      <w:r>
        <w:rPr>
          <w:b/>
          <w:sz w:val="32"/>
        </w:rPr>
        <w:t>N</w:t>
      </w:r>
      <w:r>
        <w:rPr>
          <w:b/>
          <w:sz w:val="26"/>
        </w:rPr>
        <w:t>ACASIUS U</w:t>
      </w:r>
      <w:r>
        <w:rPr>
          <w:b/>
          <w:sz w:val="32"/>
        </w:rPr>
        <w:t xml:space="preserve">. </w:t>
      </w:r>
      <w:r>
        <w:rPr>
          <w:b/>
          <w:sz w:val="26"/>
        </w:rPr>
        <w:t>UJAH</w:t>
      </w:r>
      <w:r>
        <w:rPr>
          <w:sz w:val="26"/>
        </w:rPr>
        <w:t xml:space="preserve"> </w:t>
      </w:r>
    </w:p>
    <w:tbl>
      <w:tblPr>
        <w:tblStyle w:val="TableGrid"/>
        <w:tblW w:w="8820" w:type="dxa"/>
        <w:tblInd w:w="0" w:type="dxa"/>
        <w:tblLook w:val="04A0" w:firstRow="1" w:lastRow="0" w:firstColumn="1" w:lastColumn="0" w:noHBand="0" w:noVBand="1"/>
      </w:tblPr>
      <w:tblGrid>
        <w:gridCol w:w="3566"/>
        <w:gridCol w:w="1527"/>
        <w:gridCol w:w="209"/>
        <w:gridCol w:w="3518"/>
      </w:tblGrid>
      <w:tr w:rsidR="002F4C14" w:rsidTr="00521A1A">
        <w:trPr>
          <w:trHeight w:val="546"/>
        </w:trPr>
        <w:tc>
          <w:tcPr>
            <w:tcW w:w="3566" w:type="dxa"/>
            <w:tcBorders>
              <w:top w:val="nil"/>
              <w:left w:val="nil"/>
              <w:bottom w:val="nil"/>
              <w:right w:val="nil"/>
            </w:tcBorders>
          </w:tcPr>
          <w:p w:rsidR="002F4C14" w:rsidRDefault="004037D9">
            <w:pPr>
              <w:spacing w:after="14" w:line="259" w:lineRule="auto"/>
              <w:ind w:left="0" w:firstLine="0"/>
              <w:rPr>
                <w:rFonts w:ascii="Calibri" w:eastAsia="Calibri" w:hAnsi="Calibri" w:cs="Calibri"/>
                <w:sz w:val="24"/>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4FCE758" wp14:editId="7543DDE0">
                      <wp:simplePos x="0" y="0"/>
                      <wp:positionH relativeFrom="column">
                        <wp:posOffset>160782</wp:posOffset>
                      </wp:positionH>
                      <wp:positionV relativeFrom="paragraph">
                        <wp:posOffset>300</wp:posOffset>
                      </wp:positionV>
                      <wp:extent cx="6039612" cy="7620"/>
                      <wp:effectExtent l="0" t="0" r="0" b="0"/>
                      <wp:wrapNone/>
                      <wp:docPr id="9089" name="Group 9089"/>
                      <wp:cNvGraphicFramePr/>
                      <a:graphic xmlns:a="http://schemas.openxmlformats.org/drawingml/2006/main">
                        <a:graphicData uri="http://schemas.microsoft.com/office/word/2010/wordprocessingGroup">
                          <wpg:wgp>
                            <wpg:cNvGrpSpPr/>
                            <wpg:grpSpPr>
                              <a:xfrm>
                                <a:off x="0" y="0"/>
                                <a:ext cx="6039612" cy="7620"/>
                                <a:chOff x="0" y="0"/>
                                <a:chExt cx="6039612" cy="7620"/>
                              </a:xfrm>
                            </wpg:grpSpPr>
                            <wps:wsp>
                              <wps:cNvPr id="17" name="Shape 17"/>
                              <wps:cNvSpPr/>
                              <wps:spPr>
                                <a:xfrm>
                                  <a:off x="0" y="0"/>
                                  <a:ext cx="6039612" cy="0"/>
                                </a:xfrm>
                                <a:custGeom>
                                  <a:avLst/>
                                  <a:gdLst/>
                                  <a:ahLst/>
                                  <a:cxnLst/>
                                  <a:rect l="0" t="0" r="0" b="0"/>
                                  <a:pathLst>
                                    <a:path w="6039612">
                                      <a:moveTo>
                                        <a:pt x="0" y="0"/>
                                      </a:moveTo>
                                      <a:lnTo>
                                        <a:pt x="6039612"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89" style="width:475.56pt;height:0.6pt;position:absolute;z-index:12;mso-position-horizontal-relative:text;mso-position-horizontal:absolute;margin-left:12.66pt;mso-position-vertical-relative:text;margin-top:0.0235977pt;" coordsize="60396,76">
                      <v:shape id="Shape 17" style="position:absolute;width:60396;height:0;left:0;top:0;" coordsize="6039612,0" path="m0,0l6039612,0">
                        <v:stroke weight="0.6pt" endcap="flat" joinstyle="round" on="true" color="#000000"/>
                        <v:fill on="false" color="#000000" opacity="0"/>
                      </v:shape>
                    </v:group>
                  </w:pict>
                </mc:Fallback>
              </mc:AlternateContent>
            </w:r>
            <w:r>
              <w:rPr>
                <w:rFonts w:ascii="Calibri" w:eastAsia="Calibri" w:hAnsi="Calibri" w:cs="Calibri"/>
                <w:sz w:val="24"/>
              </w:rPr>
              <w:t xml:space="preserve"> </w:t>
            </w:r>
          </w:p>
          <w:p w:rsidR="00521A1A" w:rsidRDefault="00521A1A">
            <w:pPr>
              <w:spacing w:after="14" w:line="259" w:lineRule="auto"/>
              <w:ind w:left="0" w:firstLine="0"/>
            </w:pPr>
          </w:p>
          <w:p w:rsidR="002F4C14" w:rsidRDefault="004037D9">
            <w:pPr>
              <w:spacing w:after="0" w:line="259" w:lineRule="auto"/>
              <w:ind w:left="101" w:firstLine="0"/>
            </w:pPr>
            <w:r>
              <w:rPr>
                <w:b/>
                <w:sz w:val="26"/>
                <w:u w:val="single" w:color="000000"/>
              </w:rPr>
              <w:t>E</w:t>
            </w:r>
            <w:r>
              <w:rPr>
                <w:b/>
                <w:sz w:val="21"/>
                <w:u w:val="single" w:color="000000"/>
              </w:rPr>
              <w:t>DUCATION</w:t>
            </w:r>
            <w:r>
              <w:rPr>
                <w:sz w:val="21"/>
              </w:rPr>
              <w:t xml:space="preserve"> </w:t>
            </w:r>
          </w:p>
        </w:tc>
        <w:tc>
          <w:tcPr>
            <w:tcW w:w="1527" w:type="dxa"/>
            <w:tcBorders>
              <w:top w:val="nil"/>
              <w:left w:val="nil"/>
              <w:bottom w:val="nil"/>
              <w:right w:val="nil"/>
            </w:tcBorders>
          </w:tcPr>
          <w:p w:rsidR="002F4C14" w:rsidRDefault="002F4C14">
            <w:pPr>
              <w:spacing w:after="160" w:line="259" w:lineRule="auto"/>
              <w:ind w:left="0" w:firstLine="0"/>
            </w:pPr>
          </w:p>
        </w:tc>
        <w:tc>
          <w:tcPr>
            <w:tcW w:w="209" w:type="dxa"/>
            <w:tcBorders>
              <w:top w:val="nil"/>
              <w:left w:val="nil"/>
              <w:bottom w:val="nil"/>
              <w:right w:val="nil"/>
            </w:tcBorders>
          </w:tcPr>
          <w:p w:rsidR="002F4C14" w:rsidRDefault="002F4C14">
            <w:pPr>
              <w:spacing w:after="160" w:line="259" w:lineRule="auto"/>
              <w:ind w:left="0" w:firstLine="0"/>
            </w:pPr>
          </w:p>
        </w:tc>
        <w:tc>
          <w:tcPr>
            <w:tcW w:w="3518" w:type="dxa"/>
            <w:tcBorders>
              <w:top w:val="nil"/>
              <w:left w:val="nil"/>
              <w:bottom w:val="nil"/>
              <w:right w:val="nil"/>
            </w:tcBorders>
          </w:tcPr>
          <w:p w:rsidR="002F4C14" w:rsidRDefault="002F4C14">
            <w:pPr>
              <w:spacing w:after="160" w:line="259" w:lineRule="auto"/>
              <w:ind w:left="0" w:firstLine="0"/>
            </w:pPr>
          </w:p>
        </w:tc>
      </w:tr>
      <w:tr w:rsidR="002F4C14" w:rsidTr="00521A1A">
        <w:trPr>
          <w:trHeight w:val="239"/>
        </w:trPr>
        <w:tc>
          <w:tcPr>
            <w:tcW w:w="3566" w:type="dxa"/>
            <w:tcBorders>
              <w:top w:val="nil"/>
              <w:left w:val="nil"/>
              <w:bottom w:val="nil"/>
              <w:right w:val="nil"/>
            </w:tcBorders>
          </w:tcPr>
          <w:p w:rsidR="002F4C14" w:rsidRDefault="004037D9" w:rsidP="00521A1A">
            <w:r>
              <w:t xml:space="preserve">Texas A&amp;M Intl. University </w:t>
            </w:r>
          </w:p>
        </w:tc>
        <w:tc>
          <w:tcPr>
            <w:tcW w:w="1527" w:type="dxa"/>
            <w:tcBorders>
              <w:top w:val="nil"/>
              <w:left w:val="nil"/>
              <w:bottom w:val="nil"/>
              <w:right w:val="nil"/>
            </w:tcBorders>
          </w:tcPr>
          <w:p w:rsidR="002F4C14" w:rsidRDefault="004037D9" w:rsidP="00521A1A">
            <w:r>
              <w:t xml:space="preserve">(Fall 2013) </w:t>
            </w:r>
          </w:p>
        </w:tc>
        <w:tc>
          <w:tcPr>
            <w:tcW w:w="209" w:type="dxa"/>
            <w:tcBorders>
              <w:top w:val="nil"/>
              <w:left w:val="nil"/>
              <w:bottom w:val="nil"/>
              <w:right w:val="nil"/>
            </w:tcBorders>
          </w:tcPr>
          <w:p w:rsidR="002F4C14" w:rsidRDefault="004037D9" w:rsidP="00521A1A">
            <w:r>
              <w:t xml:space="preserve"> </w:t>
            </w:r>
          </w:p>
        </w:tc>
        <w:tc>
          <w:tcPr>
            <w:tcW w:w="3518" w:type="dxa"/>
            <w:tcBorders>
              <w:top w:val="nil"/>
              <w:left w:val="nil"/>
              <w:bottom w:val="nil"/>
              <w:right w:val="nil"/>
            </w:tcBorders>
          </w:tcPr>
          <w:p w:rsidR="002F4C14" w:rsidRDefault="004037D9" w:rsidP="00521A1A">
            <w:r>
              <w:t xml:space="preserve">Ph.D. International Business and Finance </w:t>
            </w:r>
          </w:p>
        </w:tc>
      </w:tr>
      <w:tr w:rsidR="002F4C14" w:rsidTr="00521A1A">
        <w:trPr>
          <w:trHeight w:val="245"/>
        </w:trPr>
        <w:tc>
          <w:tcPr>
            <w:tcW w:w="3566" w:type="dxa"/>
            <w:tcBorders>
              <w:top w:val="nil"/>
              <w:left w:val="nil"/>
              <w:bottom w:val="nil"/>
              <w:right w:val="nil"/>
            </w:tcBorders>
          </w:tcPr>
          <w:p w:rsidR="002F4C14" w:rsidRDefault="004037D9" w:rsidP="00521A1A">
            <w:r>
              <w:t xml:space="preserve">University of Central Arkansas </w:t>
            </w:r>
          </w:p>
        </w:tc>
        <w:tc>
          <w:tcPr>
            <w:tcW w:w="1527" w:type="dxa"/>
            <w:tcBorders>
              <w:top w:val="nil"/>
              <w:left w:val="nil"/>
              <w:bottom w:val="nil"/>
              <w:right w:val="nil"/>
            </w:tcBorders>
          </w:tcPr>
          <w:p w:rsidR="002F4C14" w:rsidRDefault="004037D9" w:rsidP="00521A1A">
            <w:r>
              <w:t xml:space="preserve">(Fall 2006) </w:t>
            </w:r>
          </w:p>
        </w:tc>
        <w:tc>
          <w:tcPr>
            <w:tcW w:w="209" w:type="dxa"/>
            <w:tcBorders>
              <w:top w:val="nil"/>
              <w:left w:val="nil"/>
              <w:bottom w:val="nil"/>
              <w:right w:val="nil"/>
            </w:tcBorders>
          </w:tcPr>
          <w:p w:rsidR="002F4C14" w:rsidRDefault="002F4C14" w:rsidP="00521A1A"/>
        </w:tc>
        <w:tc>
          <w:tcPr>
            <w:tcW w:w="3518" w:type="dxa"/>
            <w:tcBorders>
              <w:top w:val="nil"/>
              <w:left w:val="nil"/>
              <w:bottom w:val="nil"/>
              <w:right w:val="nil"/>
            </w:tcBorders>
          </w:tcPr>
          <w:p w:rsidR="002F4C14" w:rsidRDefault="004037D9" w:rsidP="00521A1A">
            <w:r>
              <w:t xml:space="preserve">M.B.A. International Business </w:t>
            </w:r>
          </w:p>
        </w:tc>
      </w:tr>
      <w:tr w:rsidR="002F4C14" w:rsidTr="00521A1A">
        <w:trPr>
          <w:trHeight w:val="238"/>
        </w:trPr>
        <w:tc>
          <w:tcPr>
            <w:tcW w:w="3566" w:type="dxa"/>
            <w:tcBorders>
              <w:top w:val="nil"/>
              <w:left w:val="nil"/>
              <w:bottom w:val="nil"/>
              <w:right w:val="nil"/>
            </w:tcBorders>
          </w:tcPr>
          <w:p w:rsidR="002F4C14" w:rsidRDefault="004037D9" w:rsidP="00521A1A">
            <w:r>
              <w:t xml:space="preserve">University of Central Arkansas </w:t>
            </w:r>
          </w:p>
        </w:tc>
        <w:tc>
          <w:tcPr>
            <w:tcW w:w="1527" w:type="dxa"/>
            <w:tcBorders>
              <w:top w:val="nil"/>
              <w:left w:val="nil"/>
              <w:bottom w:val="nil"/>
              <w:right w:val="nil"/>
            </w:tcBorders>
          </w:tcPr>
          <w:p w:rsidR="002F4C14" w:rsidRDefault="004037D9" w:rsidP="00521A1A">
            <w:r>
              <w:t xml:space="preserve">(Fall 2003) </w:t>
            </w:r>
          </w:p>
        </w:tc>
        <w:tc>
          <w:tcPr>
            <w:tcW w:w="209" w:type="dxa"/>
            <w:tcBorders>
              <w:top w:val="nil"/>
              <w:left w:val="nil"/>
              <w:bottom w:val="nil"/>
              <w:right w:val="nil"/>
            </w:tcBorders>
          </w:tcPr>
          <w:p w:rsidR="002F4C14" w:rsidRDefault="002F4C14" w:rsidP="00521A1A"/>
        </w:tc>
        <w:tc>
          <w:tcPr>
            <w:tcW w:w="3518" w:type="dxa"/>
            <w:tcBorders>
              <w:top w:val="nil"/>
              <w:left w:val="nil"/>
              <w:bottom w:val="nil"/>
              <w:right w:val="nil"/>
            </w:tcBorders>
          </w:tcPr>
          <w:p w:rsidR="002F4C14" w:rsidRDefault="004037D9" w:rsidP="00521A1A">
            <w:r>
              <w:t xml:space="preserve">B.B.A. Economics - International Trade </w:t>
            </w:r>
          </w:p>
        </w:tc>
      </w:tr>
    </w:tbl>
    <w:p w:rsidR="002F4C14" w:rsidRDefault="004037D9">
      <w:pPr>
        <w:spacing w:after="12" w:line="259" w:lineRule="auto"/>
        <w:ind w:left="0" w:firstLine="0"/>
      </w:pPr>
      <w:r>
        <w:rPr>
          <w:rFonts w:ascii="Calibri" w:eastAsia="Calibri" w:hAnsi="Calibri" w:cs="Calibri"/>
          <w:sz w:val="24"/>
        </w:rPr>
        <w:t xml:space="preserve"> </w:t>
      </w:r>
    </w:p>
    <w:p w:rsidR="005D4E35" w:rsidRDefault="005D4E35" w:rsidP="005D4E35">
      <w:pPr>
        <w:pStyle w:val="Heading1"/>
        <w:ind w:left="10"/>
      </w:pPr>
      <w:r>
        <w:rPr>
          <w:sz w:val="26"/>
        </w:rPr>
        <w:t>T</w:t>
      </w:r>
      <w:r>
        <w:t xml:space="preserve">EACHING </w:t>
      </w:r>
      <w:r>
        <w:rPr>
          <w:sz w:val="26"/>
        </w:rPr>
        <w:t>A</w:t>
      </w:r>
      <w:r>
        <w:t>SSIGNMENTS</w:t>
      </w:r>
      <w:r>
        <w:rPr>
          <w:b w:val="0"/>
          <w:u w:val="none"/>
        </w:rPr>
        <w:t xml:space="preserve"> </w:t>
      </w:r>
    </w:p>
    <w:p w:rsidR="005D4E35" w:rsidRDefault="005D4E35" w:rsidP="005D4E35">
      <w:pPr>
        <w:tabs>
          <w:tab w:val="center" w:pos="1754"/>
          <w:tab w:val="center" w:pos="5538"/>
          <w:tab w:val="center" w:pos="8683"/>
        </w:tabs>
        <w:spacing w:after="1" w:line="259" w:lineRule="auto"/>
        <w:ind w:left="0" w:firstLine="0"/>
        <w:rPr>
          <w:b/>
        </w:rPr>
      </w:pPr>
      <w:r>
        <w:rPr>
          <w:b/>
        </w:rPr>
        <w:tab/>
        <w:t xml:space="preserve">       South Dakota State University       Assistant Professor of Corporate Finance </w:t>
      </w:r>
      <w:r>
        <w:rPr>
          <w:b/>
        </w:rPr>
        <w:tab/>
        <w:t xml:space="preserve">07/2016 –  </w:t>
      </w:r>
    </w:p>
    <w:p w:rsidR="005D4E35" w:rsidRPr="005D4E35" w:rsidRDefault="005D4E35" w:rsidP="005D4E35">
      <w:pPr>
        <w:tabs>
          <w:tab w:val="center" w:pos="1754"/>
          <w:tab w:val="center" w:pos="5538"/>
          <w:tab w:val="center" w:pos="8683"/>
        </w:tabs>
        <w:spacing w:after="1" w:line="259" w:lineRule="auto"/>
        <w:ind w:left="0" w:firstLine="0"/>
        <w:rPr>
          <w:i/>
        </w:rPr>
      </w:pPr>
      <w:r w:rsidRPr="005D4E35">
        <w:rPr>
          <w:b/>
          <w:i/>
        </w:rPr>
        <w:t xml:space="preserve">       (Tenure Track) </w:t>
      </w:r>
    </w:p>
    <w:p w:rsidR="005D4E35" w:rsidRDefault="005D4E35" w:rsidP="005D4E35">
      <w:pPr>
        <w:spacing w:after="1" w:line="259" w:lineRule="auto"/>
        <w:ind w:left="276"/>
      </w:pPr>
      <w:r>
        <w:rPr>
          <w:b/>
        </w:rPr>
        <w:t xml:space="preserve">Teaching Evaluation – </w:t>
      </w:r>
    </w:p>
    <w:p w:rsidR="005D4E35" w:rsidRDefault="005D4E35" w:rsidP="005D4E35">
      <w:pPr>
        <w:ind w:left="276"/>
      </w:pPr>
      <w:r>
        <w:t xml:space="preserve">    BADM 310 (Business Finance) – 5 courses </w:t>
      </w:r>
    </w:p>
    <w:p w:rsidR="005D4E35" w:rsidRDefault="005D4E35" w:rsidP="005D4E35">
      <w:pPr>
        <w:ind w:left="276"/>
      </w:pPr>
      <w:r>
        <w:t xml:space="preserve">    ECON 610  (Financial Management) – 1 course (a blended course)</w:t>
      </w:r>
    </w:p>
    <w:p w:rsidR="005D4E35" w:rsidRDefault="005D4E35" w:rsidP="005D4E35">
      <w:pPr>
        <w:ind w:left="276"/>
      </w:pPr>
      <w:r>
        <w:t xml:space="preserve">    ECON 798  (Thesis) – 2 courses </w:t>
      </w:r>
    </w:p>
    <w:p w:rsidR="005D4E35" w:rsidRDefault="005D4E35" w:rsidP="005D4E35">
      <w:pPr>
        <w:tabs>
          <w:tab w:val="center" w:pos="1754"/>
          <w:tab w:val="center" w:pos="5538"/>
          <w:tab w:val="center" w:pos="8683"/>
        </w:tabs>
        <w:spacing w:after="1" w:line="259" w:lineRule="auto"/>
        <w:ind w:left="0" w:firstLine="0"/>
        <w:rPr>
          <w:rFonts w:ascii="Calibri" w:eastAsia="Calibri" w:hAnsi="Calibri" w:cs="Calibri"/>
          <w:sz w:val="22"/>
        </w:rPr>
      </w:pPr>
      <w:r>
        <w:rPr>
          <w:rFonts w:ascii="Calibri" w:eastAsia="Calibri" w:hAnsi="Calibri" w:cs="Calibri"/>
          <w:sz w:val="22"/>
        </w:rPr>
        <w:tab/>
      </w:r>
    </w:p>
    <w:p w:rsidR="005D4E35" w:rsidRDefault="005D4E35" w:rsidP="005D4E35">
      <w:pPr>
        <w:tabs>
          <w:tab w:val="center" w:pos="1754"/>
          <w:tab w:val="center" w:pos="5538"/>
          <w:tab w:val="center" w:pos="8683"/>
        </w:tabs>
        <w:spacing w:after="1" w:line="259" w:lineRule="auto"/>
        <w:ind w:left="0" w:firstLine="0"/>
        <w:rPr>
          <w:b/>
        </w:rPr>
      </w:pPr>
      <w:r>
        <w:rPr>
          <w:rFonts w:ascii="Calibri" w:eastAsia="Calibri" w:hAnsi="Calibri" w:cs="Calibri"/>
          <w:sz w:val="22"/>
        </w:rPr>
        <w:tab/>
      </w:r>
      <w:r>
        <w:rPr>
          <w:b/>
        </w:rPr>
        <w:t xml:space="preserve">University of Nebraska at Kearney  </w:t>
      </w:r>
      <w:r>
        <w:rPr>
          <w:b/>
        </w:rPr>
        <w:tab/>
        <w:t xml:space="preserve">Assistant Professor of Finance </w:t>
      </w:r>
      <w:r>
        <w:rPr>
          <w:b/>
        </w:rPr>
        <w:tab/>
        <w:t xml:space="preserve">08/2014 – 06/2016 </w:t>
      </w:r>
    </w:p>
    <w:p w:rsidR="005D4E35" w:rsidRPr="005D4E35" w:rsidRDefault="005D4E35" w:rsidP="005D4E35">
      <w:pPr>
        <w:tabs>
          <w:tab w:val="center" w:pos="1754"/>
          <w:tab w:val="center" w:pos="5538"/>
          <w:tab w:val="center" w:pos="8683"/>
        </w:tabs>
        <w:spacing w:after="1" w:line="259" w:lineRule="auto"/>
        <w:ind w:left="0" w:firstLine="0"/>
        <w:rPr>
          <w:i/>
        </w:rPr>
      </w:pPr>
      <w:r>
        <w:rPr>
          <w:b/>
        </w:rPr>
        <w:t xml:space="preserve">      </w:t>
      </w:r>
      <w:r w:rsidRPr="005D4E35">
        <w:rPr>
          <w:b/>
          <w:i/>
        </w:rPr>
        <w:t xml:space="preserve">(Tenure Track) </w:t>
      </w:r>
    </w:p>
    <w:p w:rsidR="005D4E35" w:rsidRDefault="005D4E35" w:rsidP="005D4E35">
      <w:pPr>
        <w:spacing w:after="1" w:line="259" w:lineRule="auto"/>
        <w:ind w:left="276"/>
      </w:pPr>
      <w:r>
        <w:rPr>
          <w:b/>
        </w:rPr>
        <w:t xml:space="preserve">Teaching Evaluation – 4.6/5.0 </w:t>
      </w:r>
    </w:p>
    <w:p w:rsidR="005D4E35" w:rsidRDefault="005D4E35" w:rsidP="005D4E35">
      <w:pPr>
        <w:ind w:left="276"/>
      </w:pPr>
      <w:r>
        <w:t xml:space="preserve">    FIN 30</w:t>
      </w:r>
      <w:r w:rsidR="00623FB6">
        <w:t>8 (Principles of Finance) – 7</w:t>
      </w:r>
      <w:r>
        <w:t xml:space="preserve"> courses </w:t>
      </w:r>
    </w:p>
    <w:p w:rsidR="005D4E35" w:rsidRDefault="005D4E35" w:rsidP="005D4E35">
      <w:pPr>
        <w:ind w:left="276"/>
      </w:pPr>
      <w:r>
        <w:t xml:space="preserve">    FIN 422 (Financial Markets and Institutions) – 2 courses </w:t>
      </w:r>
    </w:p>
    <w:p w:rsidR="005D4E35" w:rsidRDefault="005D4E35" w:rsidP="005D4E35">
      <w:pPr>
        <w:ind w:left="276"/>
      </w:pPr>
      <w:r>
        <w:t xml:space="preserve">    FIN 806 (Managerial Finance – MBA) – 2 courses; a traditional, and a Blended/Online  </w:t>
      </w:r>
    </w:p>
    <w:p w:rsidR="005D4E35" w:rsidRDefault="005D4E35" w:rsidP="005D4E35">
      <w:pPr>
        <w:spacing w:after="0" w:line="259" w:lineRule="auto"/>
        <w:ind w:left="281" w:firstLine="0"/>
      </w:pPr>
      <w:r>
        <w:rPr>
          <w:b/>
        </w:rPr>
        <w:t xml:space="preserve"> </w:t>
      </w:r>
    </w:p>
    <w:p w:rsidR="005D4E35" w:rsidRDefault="005D4E35" w:rsidP="005D4E35">
      <w:pPr>
        <w:ind w:left="276"/>
      </w:pPr>
      <w:r>
        <w:rPr>
          <w:b/>
        </w:rPr>
        <w:t xml:space="preserve">Henderson State University </w:t>
      </w:r>
      <w:r>
        <w:rPr>
          <w:b/>
        </w:rPr>
        <w:tab/>
      </w:r>
      <w:r w:rsidRPr="00A14C01">
        <w:rPr>
          <w:b/>
        </w:rPr>
        <w:t>Visiting Assistant Pro</w:t>
      </w:r>
      <w:r w:rsidR="00A14C01" w:rsidRPr="00A14C01">
        <w:rPr>
          <w:b/>
        </w:rPr>
        <w:t>fessor of Finance</w:t>
      </w:r>
      <w:r w:rsidR="00A14C01">
        <w:t xml:space="preserve">                                 </w:t>
      </w:r>
      <w:r w:rsidR="00A14C01" w:rsidRPr="00A14C01">
        <w:rPr>
          <w:b/>
        </w:rPr>
        <w:t>08/</w:t>
      </w:r>
      <w:r w:rsidRPr="00A14C01">
        <w:rPr>
          <w:b/>
        </w:rPr>
        <w:t xml:space="preserve">2013 – </w:t>
      </w:r>
      <w:r w:rsidR="00A14C01" w:rsidRPr="00A14C01">
        <w:rPr>
          <w:b/>
        </w:rPr>
        <w:t>07/</w:t>
      </w:r>
      <w:r w:rsidRPr="00A14C01">
        <w:rPr>
          <w:b/>
        </w:rPr>
        <w:t>2014</w:t>
      </w:r>
      <w:r>
        <w:t xml:space="preserve"> </w:t>
      </w:r>
      <w:r w:rsidR="00A14C01">
        <w:t xml:space="preserve">                </w:t>
      </w:r>
      <w:r>
        <w:rPr>
          <w:b/>
        </w:rPr>
        <w:t>Teaching Evaluation – 4.2/5.0</w:t>
      </w:r>
      <w:r>
        <w:t xml:space="preserve"> </w:t>
      </w:r>
    </w:p>
    <w:p w:rsidR="005D4E35" w:rsidRDefault="005D4E35" w:rsidP="005D4E35">
      <w:pPr>
        <w:ind w:left="276"/>
      </w:pPr>
      <w:r>
        <w:t xml:space="preserve">     FIN 3043 (Business Finance) – </w:t>
      </w:r>
      <w:r w:rsidR="00A14C01">
        <w:t>3 courses</w:t>
      </w:r>
      <w:r>
        <w:t xml:space="preserve">   </w:t>
      </w:r>
    </w:p>
    <w:p w:rsidR="005D4E35" w:rsidRDefault="005D4E35" w:rsidP="005D4E35">
      <w:pPr>
        <w:ind w:left="276"/>
      </w:pPr>
      <w:r>
        <w:t xml:space="preserve">     </w:t>
      </w:r>
      <w:r w:rsidR="00A14C01">
        <w:t>FIN 3123 (Financial Planning) – 1 course</w:t>
      </w:r>
      <w:r>
        <w:t xml:space="preserve"> </w:t>
      </w:r>
    </w:p>
    <w:p w:rsidR="00A14C01" w:rsidRDefault="005D4E35" w:rsidP="005D4E35">
      <w:pPr>
        <w:ind w:left="276" w:right="1089"/>
      </w:pPr>
      <w:r>
        <w:t xml:space="preserve">     FIN 4073/5073 (Advance Financial </w:t>
      </w:r>
      <w:r w:rsidR="00A14C01">
        <w:t>Management) –</w:t>
      </w:r>
      <w:r>
        <w:t xml:space="preserve"> </w:t>
      </w:r>
      <w:r w:rsidR="00A14C01">
        <w:t>1 course</w:t>
      </w:r>
    </w:p>
    <w:p w:rsidR="00A14C01" w:rsidRDefault="00A14C01" w:rsidP="005D4E35">
      <w:pPr>
        <w:ind w:left="276" w:right="1089"/>
      </w:pPr>
      <w:r>
        <w:t xml:space="preserve">     FIN 6113 (Managerial Finance) – </w:t>
      </w:r>
      <w:r w:rsidRPr="00A14C01">
        <w:rPr>
          <w:szCs w:val="20"/>
        </w:rPr>
        <w:t>1 course</w:t>
      </w:r>
      <w:r>
        <w:t xml:space="preserve">    </w:t>
      </w:r>
    </w:p>
    <w:p w:rsidR="005D4E35" w:rsidRDefault="00A14C01" w:rsidP="00A14C01">
      <w:pPr>
        <w:ind w:left="276" w:right="1089"/>
      </w:pPr>
      <w:r>
        <w:t xml:space="preserve"> </w:t>
      </w:r>
      <w:r w:rsidR="005D4E35">
        <w:t xml:space="preserve">     </w:t>
      </w:r>
    </w:p>
    <w:p w:rsidR="002F4C14" w:rsidRDefault="004037D9">
      <w:pPr>
        <w:pStyle w:val="Heading1"/>
        <w:ind w:left="96"/>
      </w:pPr>
      <w:r>
        <w:rPr>
          <w:sz w:val="26"/>
        </w:rPr>
        <w:t>A</w:t>
      </w:r>
      <w:r>
        <w:t xml:space="preserve">REAS OF </w:t>
      </w:r>
      <w:r>
        <w:rPr>
          <w:sz w:val="26"/>
        </w:rPr>
        <w:t>I</w:t>
      </w:r>
      <w:r>
        <w:t>NTEREST</w:t>
      </w:r>
      <w:r>
        <w:rPr>
          <w:b w:val="0"/>
          <w:u w:val="none"/>
        </w:rPr>
        <w:t xml:space="preserve"> </w:t>
      </w:r>
    </w:p>
    <w:p w:rsidR="002F4C14" w:rsidRDefault="004037D9">
      <w:pPr>
        <w:ind w:left="452" w:hanging="351"/>
      </w:pPr>
      <w:r>
        <w:rPr>
          <w:sz w:val="21"/>
        </w:rPr>
        <w:t xml:space="preserve">      </w:t>
      </w:r>
      <w:r>
        <w:rPr>
          <w:b/>
        </w:rPr>
        <w:t xml:space="preserve">RESEARCH: </w:t>
      </w:r>
      <w:r>
        <w:t>Corporate Governance, Capital Market Structures, Dividend Policy, Emerging Market, Executive Compensation, and International Finance.</w:t>
      </w:r>
      <w:r>
        <w:rPr>
          <w:sz w:val="21"/>
        </w:rPr>
        <w:t xml:space="preserve"> </w:t>
      </w:r>
    </w:p>
    <w:p w:rsidR="002F4C14" w:rsidRDefault="004037D9">
      <w:pPr>
        <w:ind w:left="399"/>
      </w:pPr>
      <w:r>
        <w:rPr>
          <w:b/>
        </w:rPr>
        <w:t xml:space="preserve">TEACHING: </w:t>
      </w:r>
      <w:r>
        <w:t xml:space="preserve">Banking, Corporate Finance, Financial Institutions and Markets, Financial Management, International Finance, and Risk Management </w:t>
      </w:r>
    </w:p>
    <w:p w:rsidR="002F4C14" w:rsidRDefault="004037D9">
      <w:pPr>
        <w:spacing w:after="0" w:line="259" w:lineRule="auto"/>
        <w:ind w:left="0" w:firstLine="0"/>
      </w:pPr>
      <w:r>
        <w:rPr>
          <w:rFonts w:ascii="Calibri" w:eastAsia="Calibri" w:hAnsi="Calibri" w:cs="Calibri"/>
          <w:sz w:val="22"/>
        </w:rPr>
        <w:t xml:space="preserve">  </w:t>
      </w:r>
    </w:p>
    <w:p w:rsidR="00951CEB" w:rsidRPr="004813A2" w:rsidRDefault="004813A2" w:rsidP="00951CEB">
      <w:pPr>
        <w:pStyle w:val="Heading1"/>
        <w:ind w:left="96"/>
        <w:rPr>
          <w:szCs w:val="21"/>
        </w:rPr>
      </w:pPr>
      <w:r w:rsidRPr="004813A2">
        <w:rPr>
          <w:szCs w:val="21"/>
        </w:rPr>
        <w:t>DIRECTED STUDENT LEARNING</w:t>
      </w:r>
      <w:r w:rsidR="00951CEB" w:rsidRPr="004813A2">
        <w:rPr>
          <w:b w:val="0"/>
          <w:szCs w:val="21"/>
          <w:u w:val="none"/>
        </w:rPr>
        <w:t xml:space="preserve"> </w:t>
      </w:r>
    </w:p>
    <w:p w:rsidR="00951CEB" w:rsidRDefault="00907124" w:rsidP="00907124">
      <w:pPr>
        <w:pStyle w:val="ListParagraph"/>
        <w:numPr>
          <w:ilvl w:val="0"/>
          <w:numId w:val="10"/>
        </w:numPr>
        <w:spacing w:after="0" w:line="259" w:lineRule="auto"/>
        <w:rPr>
          <w:sz w:val="21"/>
        </w:rPr>
      </w:pPr>
      <w:r w:rsidRPr="00907124">
        <w:rPr>
          <w:sz w:val="21"/>
        </w:rPr>
        <w:t>Master's Thesis Committee Chair, "Gender Matters: Stock Market and CEO Announcements." (January 2017 - Present).</w:t>
      </w:r>
      <w:r>
        <w:rPr>
          <w:sz w:val="21"/>
        </w:rPr>
        <w:t xml:space="preserve">   </w:t>
      </w:r>
      <w:r w:rsidRPr="00907124">
        <w:rPr>
          <w:sz w:val="21"/>
        </w:rPr>
        <w:t>Advised: Kylie Walterman</w:t>
      </w:r>
    </w:p>
    <w:p w:rsidR="00907124" w:rsidRDefault="00907124" w:rsidP="00907124">
      <w:pPr>
        <w:pStyle w:val="ListParagraph"/>
        <w:numPr>
          <w:ilvl w:val="0"/>
          <w:numId w:val="10"/>
        </w:numPr>
        <w:spacing w:after="0" w:line="259" w:lineRule="auto"/>
        <w:rPr>
          <w:sz w:val="21"/>
        </w:rPr>
      </w:pPr>
      <w:r w:rsidRPr="00907124">
        <w:rPr>
          <w:sz w:val="21"/>
        </w:rPr>
        <w:t>Master's Thesis Committee Member. (April 2017).</w:t>
      </w:r>
      <w:r>
        <w:rPr>
          <w:sz w:val="21"/>
        </w:rPr>
        <w:t xml:space="preserve">  </w:t>
      </w:r>
      <w:r w:rsidRPr="00907124">
        <w:rPr>
          <w:sz w:val="21"/>
        </w:rPr>
        <w:t>Advised: Amanda Conner</w:t>
      </w:r>
    </w:p>
    <w:p w:rsidR="00907124" w:rsidRDefault="00907124" w:rsidP="00907124">
      <w:pPr>
        <w:pStyle w:val="ListParagraph"/>
        <w:numPr>
          <w:ilvl w:val="0"/>
          <w:numId w:val="10"/>
        </w:numPr>
        <w:spacing w:after="0" w:line="259" w:lineRule="auto"/>
        <w:rPr>
          <w:sz w:val="21"/>
        </w:rPr>
      </w:pPr>
      <w:r w:rsidRPr="00907124">
        <w:rPr>
          <w:sz w:val="21"/>
        </w:rPr>
        <w:t>Master's Thesis Committee Member, "Intentional Campus Design in Nurturing Spiritual Development: An Environmental Analysis." (October 13, 2016).</w:t>
      </w:r>
      <w:r>
        <w:rPr>
          <w:sz w:val="21"/>
        </w:rPr>
        <w:t xml:space="preserve">   </w:t>
      </w:r>
      <w:r w:rsidRPr="00907124">
        <w:rPr>
          <w:sz w:val="21"/>
        </w:rPr>
        <w:t>Advised: Lauren Heeren</w:t>
      </w:r>
    </w:p>
    <w:p w:rsidR="00907124" w:rsidRDefault="00907124" w:rsidP="00907124">
      <w:pPr>
        <w:pStyle w:val="ListParagraph"/>
        <w:numPr>
          <w:ilvl w:val="0"/>
          <w:numId w:val="10"/>
        </w:numPr>
        <w:spacing w:after="0" w:line="259" w:lineRule="auto"/>
        <w:rPr>
          <w:sz w:val="21"/>
        </w:rPr>
      </w:pPr>
      <w:r w:rsidRPr="00907124">
        <w:rPr>
          <w:sz w:val="21"/>
        </w:rPr>
        <w:t>Supervised Research, "Founding-Family ownership and Firm Performance." (October 8, 2015 - April 10, 2016).</w:t>
      </w:r>
      <w:r>
        <w:rPr>
          <w:sz w:val="21"/>
        </w:rPr>
        <w:t xml:space="preserve">   </w:t>
      </w:r>
      <w:r w:rsidRPr="00907124">
        <w:rPr>
          <w:sz w:val="21"/>
        </w:rPr>
        <w:t>Advised: Rachel Jack</w:t>
      </w:r>
      <w:r>
        <w:rPr>
          <w:sz w:val="21"/>
        </w:rPr>
        <w:t xml:space="preserve">    (University of Nebraska at Kearney)</w:t>
      </w:r>
    </w:p>
    <w:p w:rsidR="00907124" w:rsidRPr="00907124" w:rsidRDefault="00907124" w:rsidP="00907124">
      <w:pPr>
        <w:pStyle w:val="ListParagraph"/>
        <w:numPr>
          <w:ilvl w:val="0"/>
          <w:numId w:val="10"/>
        </w:numPr>
        <w:spacing w:after="0" w:line="259" w:lineRule="auto"/>
        <w:rPr>
          <w:sz w:val="21"/>
        </w:rPr>
      </w:pPr>
      <w:r w:rsidRPr="00907124">
        <w:rPr>
          <w:sz w:val="21"/>
        </w:rPr>
        <w:t>Supervised Research, "An Ex-post Effect of Banking: Does Rural America Matter?" (September 2, 2015 - April 9, 2016).</w:t>
      </w:r>
      <w:r>
        <w:rPr>
          <w:sz w:val="21"/>
        </w:rPr>
        <w:t xml:space="preserve">  </w:t>
      </w:r>
      <w:r w:rsidRPr="00907124">
        <w:rPr>
          <w:sz w:val="21"/>
        </w:rPr>
        <w:t>Advised: Aaron Kroll</w:t>
      </w:r>
      <w:r>
        <w:rPr>
          <w:sz w:val="21"/>
        </w:rPr>
        <w:t xml:space="preserve">    (University of Nebraska at Kearney)</w:t>
      </w:r>
    </w:p>
    <w:p w:rsidR="00951CEB" w:rsidRDefault="00951CEB">
      <w:pPr>
        <w:spacing w:after="0" w:line="259" w:lineRule="auto"/>
        <w:ind w:left="96"/>
        <w:rPr>
          <w:b/>
          <w:sz w:val="21"/>
          <w:u w:val="single" w:color="000000"/>
        </w:rPr>
      </w:pPr>
    </w:p>
    <w:p w:rsidR="002F4C14" w:rsidRDefault="004037D9">
      <w:pPr>
        <w:spacing w:after="0" w:line="259" w:lineRule="auto"/>
        <w:ind w:left="96"/>
      </w:pPr>
      <w:r>
        <w:rPr>
          <w:b/>
          <w:sz w:val="21"/>
          <w:u w:val="single" w:color="000000"/>
        </w:rPr>
        <w:t>PUBLICATIONS:</w:t>
      </w:r>
      <w:r>
        <w:rPr>
          <w:sz w:val="21"/>
        </w:rPr>
        <w:t xml:space="preserve"> </w:t>
      </w:r>
    </w:p>
    <w:p w:rsidR="00A14C01" w:rsidRPr="00A14C01" w:rsidRDefault="00A14C01" w:rsidP="00E07C10">
      <w:pPr>
        <w:numPr>
          <w:ilvl w:val="0"/>
          <w:numId w:val="2"/>
        </w:numPr>
        <w:ind w:hanging="360"/>
        <w:rPr>
          <w:sz w:val="24"/>
          <w:szCs w:val="24"/>
        </w:rPr>
      </w:pPr>
      <w:r w:rsidRPr="00A14C01">
        <w:rPr>
          <w:szCs w:val="20"/>
        </w:rPr>
        <w:t xml:space="preserve">Ujah, N. U., Brusa, J., Okafor, C. (2017). The Influence of Earnings Management and Bank Structure on Bank Performance: International Evidence. </w:t>
      </w:r>
      <w:r w:rsidRPr="00A14C01">
        <w:rPr>
          <w:i/>
          <w:iCs/>
          <w:szCs w:val="20"/>
        </w:rPr>
        <w:t>Managerial Finance</w:t>
      </w:r>
      <w:r w:rsidRPr="00A14C01">
        <w:rPr>
          <w:szCs w:val="20"/>
        </w:rPr>
        <w:t xml:space="preserve">. </w:t>
      </w:r>
    </w:p>
    <w:p w:rsidR="00E07C10" w:rsidRPr="003D509C" w:rsidRDefault="00E07C10" w:rsidP="00E07C10">
      <w:pPr>
        <w:numPr>
          <w:ilvl w:val="0"/>
          <w:numId w:val="2"/>
        </w:numPr>
        <w:ind w:hanging="360"/>
        <w:rPr>
          <w:sz w:val="24"/>
          <w:szCs w:val="24"/>
        </w:rPr>
      </w:pPr>
      <w:r w:rsidRPr="00E07C10">
        <w:rPr>
          <w:szCs w:val="20"/>
        </w:rPr>
        <w:t>Meyer</w:t>
      </w:r>
      <w:r w:rsidR="00A14C01">
        <w:rPr>
          <w:szCs w:val="20"/>
        </w:rPr>
        <w:t>, H. and N. U. Ujah (2017</w:t>
      </w:r>
      <w:r w:rsidRPr="00E07C10">
        <w:rPr>
          <w:szCs w:val="20"/>
        </w:rPr>
        <w:t>). Managed earnings: the negative impact of marketer’s discretionary advertising expenditures on firm performance</w:t>
      </w:r>
      <w:r w:rsidRPr="00E07C10">
        <w:rPr>
          <w:i/>
          <w:szCs w:val="20"/>
        </w:rPr>
        <w:t>. Marketing Intelligence and Planning</w:t>
      </w:r>
      <w:r w:rsidRPr="003D509C">
        <w:rPr>
          <w:sz w:val="24"/>
          <w:szCs w:val="24"/>
        </w:rPr>
        <w:t xml:space="preserve">. </w:t>
      </w:r>
    </w:p>
    <w:p w:rsidR="002F4C14" w:rsidRDefault="00E07C10">
      <w:pPr>
        <w:numPr>
          <w:ilvl w:val="0"/>
          <w:numId w:val="2"/>
        </w:numPr>
        <w:ind w:hanging="360"/>
      </w:pPr>
      <w:r>
        <w:t xml:space="preserve"> </w:t>
      </w:r>
      <w:r w:rsidR="004037D9">
        <w:t>Procasky, W. and N. U. Ujah (</w:t>
      </w:r>
      <w:r>
        <w:t>2016</w:t>
      </w:r>
      <w:r w:rsidR="004037D9">
        <w:t xml:space="preserve">). Terrorism and its Impact on the Cost of Debt. </w:t>
      </w:r>
      <w:r w:rsidR="004037D9">
        <w:rPr>
          <w:i/>
        </w:rPr>
        <w:t xml:space="preserve">Journal of International Money and Finance. </w:t>
      </w:r>
      <w:r w:rsidR="004037D9">
        <w:t xml:space="preserve"> </w:t>
      </w:r>
    </w:p>
    <w:p w:rsidR="00E07C10" w:rsidRDefault="00E07C10">
      <w:pPr>
        <w:numPr>
          <w:ilvl w:val="0"/>
          <w:numId w:val="2"/>
        </w:numPr>
        <w:ind w:hanging="360"/>
      </w:pPr>
      <w:r w:rsidRPr="00E07C10">
        <w:rPr>
          <w:lang w:val="en"/>
        </w:rPr>
        <w:lastRenderedPageBreak/>
        <w:t xml:space="preserve">Tenkorang, B., Tenkorang, F., Ujah, N., and Ziwoya, F. (2016).  Default in Lending Potential of Small and Medium Enterprises: The Case of Ghana.  </w:t>
      </w:r>
      <w:r w:rsidRPr="00E07C10">
        <w:rPr>
          <w:i/>
          <w:iCs/>
          <w:lang w:val="en"/>
        </w:rPr>
        <w:t>African Journal of Accounting, Economics, Finance and</w:t>
      </w:r>
      <w:r w:rsidRPr="00E07C10">
        <w:rPr>
          <w:lang w:val="en"/>
        </w:rPr>
        <w:t xml:space="preserve"> </w:t>
      </w:r>
      <w:r w:rsidRPr="00E07C10">
        <w:rPr>
          <w:i/>
          <w:iCs/>
          <w:lang w:val="en"/>
        </w:rPr>
        <w:t>Banking</w:t>
      </w:r>
      <w:r w:rsidRPr="00E07C10">
        <w:rPr>
          <w:lang w:val="en"/>
        </w:rPr>
        <w:t xml:space="preserve"> </w:t>
      </w:r>
      <w:r w:rsidRPr="00E07C10">
        <w:rPr>
          <w:i/>
          <w:iCs/>
          <w:lang w:val="en"/>
        </w:rPr>
        <w:t>Research</w:t>
      </w:r>
      <w:r w:rsidRPr="00E07C10">
        <w:rPr>
          <w:lang w:val="en"/>
        </w:rPr>
        <w:t>. 10, 18.28</w:t>
      </w:r>
    </w:p>
    <w:p w:rsidR="002F4C14" w:rsidRDefault="004037D9">
      <w:pPr>
        <w:numPr>
          <w:ilvl w:val="0"/>
          <w:numId w:val="2"/>
        </w:numPr>
        <w:ind w:hanging="360"/>
      </w:pPr>
      <w:r>
        <w:t>Ujah,</w:t>
      </w:r>
      <w:r w:rsidR="00E07C10">
        <w:t xml:space="preserve"> N. U. and J. Brusa (2014</w:t>
      </w:r>
      <w:r>
        <w:t xml:space="preserve">). The Effect of Financial Leverage and Cash Flow Volatility on Managed Earnings. </w:t>
      </w:r>
      <w:r>
        <w:rPr>
          <w:i/>
        </w:rPr>
        <w:t>Journal of Business and Economics</w:t>
      </w:r>
      <w:r>
        <w:t xml:space="preserve">, </w:t>
      </w:r>
    </w:p>
    <w:p w:rsidR="002F4C14" w:rsidRDefault="004037D9">
      <w:pPr>
        <w:numPr>
          <w:ilvl w:val="0"/>
          <w:numId w:val="2"/>
        </w:numPr>
        <w:ind w:hanging="360"/>
      </w:pPr>
      <w:r>
        <w:t xml:space="preserve">Procasky, W., N. U. Ujah, and Z. A. Raja (2014). Funds from Operations to Total Debt: A more efficient measure of leverage for Capital Structure Decision Making. </w:t>
      </w:r>
      <w:r>
        <w:rPr>
          <w:i/>
        </w:rPr>
        <w:t>Journal of Accounting and Finance, 14(6).</w:t>
      </w:r>
      <w:r>
        <w:t xml:space="preserve"> </w:t>
      </w:r>
    </w:p>
    <w:p w:rsidR="002F4C14" w:rsidRDefault="004037D9">
      <w:pPr>
        <w:numPr>
          <w:ilvl w:val="0"/>
          <w:numId w:val="2"/>
        </w:numPr>
        <w:ind w:hanging="360"/>
      </w:pPr>
      <w:r>
        <w:t xml:space="preserve">Okafor, E. Collins, S. L. Murphy, and N. U. Ujah (2013). Kleptocracy, Nepotism, Kakistocracy: Impact of Corruption in Sub-saharan African Countries. International Journal of Economics and Accounting, 5(2): 97-115. </w:t>
      </w:r>
    </w:p>
    <w:p w:rsidR="002F4C14" w:rsidRDefault="004037D9">
      <w:pPr>
        <w:numPr>
          <w:ilvl w:val="0"/>
          <w:numId w:val="2"/>
        </w:numPr>
        <w:ind w:hanging="360"/>
      </w:pPr>
      <w:r>
        <w:t xml:space="preserve">Smith, L. M, N. U. Ujah, A. Bakay, J. Hung, M. Moqbel (2011). Economics and the Energy Industry in China, Germany, Nigeria, and Turkey. </w:t>
      </w:r>
      <w:r>
        <w:rPr>
          <w:i/>
        </w:rPr>
        <w:t>Oil, Gas &amp; Energy Quarterly</w:t>
      </w:r>
      <w:r>
        <w:t xml:space="preserve"> </w:t>
      </w:r>
    </w:p>
    <w:p w:rsidR="002F4C14" w:rsidRDefault="004037D9">
      <w:pPr>
        <w:numPr>
          <w:ilvl w:val="0"/>
          <w:numId w:val="2"/>
        </w:numPr>
        <w:ind w:hanging="360"/>
      </w:pPr>
      <w:r>
        <w:t>Gaskins, L, N. U. Ujah, J. Ortiz (2011). When 1</w:t>
      </w:r>
      <w:r>
        <w:rPr>
          <w:vertAlign w:val="superscript"/>
        </w:rPr>
        <w:t>st</w:t>
      </w:r>
      <w:r>
        <w:t xml:space="preserve"> and 3</w:t>
      </w:r>
      <w:r>
        <w:rPr>
          <w:vertAlign w:val="superscript"/>
        </w:rPr>
        <w:t>rd</w:t>
      </w:r>
      <w:r>
        <w:t xml:space="preserve"> Converge: A Border Region Framework. </w:t>
      </w:r>
      <w:r>
        <w:rPr>
          <w:i/>
        </w:rPr>
        <w:t xml:space="preserve">Journal of Diversity Management, 6(1): 11-20. </w:t>
      </w:r>
    </w:p>
    <w:p w:rsidR="002F4C14" w:rsidRDefault="004037D9">
      <w:pPr>
        <w:numPr>
          <w:ilvl w:val="0"/>
          <w:numId w:val="2"/>
        </w:numPr>
        <w:ind w:hanging="360"/>
      </w:pPr>
      <w:r>
        <w:t xml:space="preserve">Nacasius U. Ujah, C. E. Okafor, and A. Elkassabgi (2011). Democracy and FDI Inflow; Evidence of Discordance in Sub-Saharan Africa. </w:t>
      </w:r>
      <w:r>
        <w:rPr>
          <w:i/>
        </w:rPr>
        <w:t>International Research Journal of Finance and Economics.</w:t>
      </w:r>
      <w:r>
        <w:t xml:space="preserve">  </w:t>
      </w:r>
    </w:p>
    <w:p w:rsidR="002F4C14" w:rsidRDefault="004037D9">
      <w:pPr>
        <w:numPr>
          <w:ilvl w:val="0"/>
          <w:numId w:val="2"/>
        </w:numPr>
        <w:ind w:hanging="360"/>
      </w:pPr>
      <w:r>
        <w:t xml:space="preserve">Nacasius, U. Ujah, C. E. Okafor, and A. Bakay (2010). Factors Explaining ICT Diffusion: Case study of selected Latin American countries. </w:t>
      </w:r>
      <w:r>
        <w:rPr>
          <w:i/>
        </w:rPr>
        <w:t xml:space="preserve">International Journal on Advances in ICT for Emerging Markets, 3(2). </w:t>
      </w:r>
    </w:p>
    <w:p w:rsidR="002F4C14" w:rsidRDefault="004037D9">
      <w:pPr>
        <w:spacing w:after="37" w:line="259" w:lineRule="auto"/>
        <w:ind w:left="149" w:firstLine="0"/>
      </w:pPr>
      <w:r>
        <w:t xml:space="preserve"> </w:t>
      </w:r>
    </w:p>
    <w:p w:rsidR="002F4C14" w:rsidRDefault="004037D9">
      <w:pPr>
        <w:spacing w:after="0" w:line="259" w:lineRule="auto"/>
        <w:ind w:left="96"/>
      </w:pPr>
      <w:r>
        <w:rPr>
          <w:b/>
          <w:sz w:val="21"/>
          <w:u w:val="single" w:color="000000"/>
        </w:rPr>
        <w:t>WORKING PAPERS:</w:t>
      </w:r>
      <w:r>
        <w:rPr>
          <w:b/>
          <w:sz w:val="26"/>
        </w:rPr>
        <w:t xml:space="preserve"> </w:t>
      </w:r>
    </w:p>
    <w:p w:rsidR="00E07C10" w:rsidRDefault="00E07C10" w:rsidP="00E07C10">
      <w:pPr>
        <w:numPr>
          <w:ilvl w:val="0"/>
          <w:numId w:val="3"/>
        </w:numPr>
        <w:spacing w:after="32"/>
        <w:ind w:hanging="360"/>
      </w:pPr>
      <w:r>
        <w:t>“</w:t>
      </w:r>
      <w:r w:rsidR="00A14C01">
        <w:t>The Effect of a Golden Parachute on Managed Earnings</w:t>
      </w:r>
      <w:r>
        <w:t xml:space="preserve">.” </w:t>
      </w:r>
      <w:r w:rsidR="008A1789">
        <w:t>w</w:t>
      </w:r>
      <w:r>
        <w:t>ith Collins E. Okafor, (revise and resubmit – Managerial Finance)</w:t>
      </w:r>
    </w:p>
    <w:p w:rsidR="002F4C14" w:rsidRDefault="00E07C10" w:rsidP="00E07C10">
      <w:pPr>
        <w:numPr>
          <w:ilvl w:val="0"/>
          <w:numId w:val="3"/>
        </w:numPr>
        <w:ind w:hanging="360"/>
      </w:pPr>
      <w:r>
        <w:t xml:space="preserve"> </w:t>
      </w:r>
      <w:r w:rsidR="004037D9">
        <w:t>“</w:t>
      </w:r>
      <w:r w:rsidR="008A1789">
        <w:t>Availability of Private Credit – Does Culture Matter?” with Dority Bree and Frank Tenkorang, (under review – Research in International Business and Finance)</w:t>
      </w:r>
      <w:r w:rsidR="004037D9">
        <w:t xml:space="preserve">.  </w:t>
      </w:r>
    </w:p>
    <w:p w:rsidR="002F4C14" w:rsidRDefault="004037D9">
      <w:pPr>
        <w:numPr>
          <w:ilvl w:val="0"/>
          <w:numId w:val="3"/>
        </w:numPr>
        <w:ind w:hanging="360"/>
      </w:pPr>
      <w:r>
        <w:t>“</w:t>
      </w:r>
      <w:r w:rsidR="008A1789">
        <w:t>Executive Compensation and Corporate Social Responsibility: Does a Golden Parachute Matter?</w:t>
      </w:r>
      <w:r>
        <w:t xml:space="preserve">” </w:t>
      </w:r>
      <w:r w:rsidR="008A1789">
        <w:t>w</w:t>
      </w:r>
      <w:r>
        <w:t>ith Collins E. Okafor</w:t>
      </w:r>
      <w:r w:rsidR="008A1789">
        <w:t>, (under review – Abacus)</w:t>
      </w:r>
      <w:r>
        <w:t xml:space="preserve"> </w:t>
      </w:r>
    </w:p>
    <w:p w:rsidR="002F4C14" w:rsidRDefault="004037D9">
      <w:pPr>
        <w:numPr>
          <w:ilvl w:val="0"/>
          <w:numId w:val="3"/>
        </w:numPr>
        <w:ind w:hanging="360"/>
      </w:pPr>
      <w:r>
        <w:t>“</w:t>
      </w:r>
      <w:r w:rsidR="008A1789">
        <w:t>Corporate Social Responsibility and Firm Performance: The Effectuating capacity of the Golden Parachute</w:t>
      </w:r>
      <w:r>
        <w:t xml:space="preserve">.” </w:t>
      </w:r>
      <w:r w:rsidR="008A1789">
        <w:t>with Collins E. Okafor, (under review – International Review of Financial Analysis)</w:t>
      </w:r>
    </w:p>
    <w:p w:rsidR="002F4C14" w:rsidRDefault="00E07C10" w:rsidP="00554852">
      <w:pPr>
        <w:numPr>
          <w:ilvl w:val="0"/>
          <w:numId w:val="3"/>
        </w:numPr>
        <w:ind w:hanging="360"/>
      </w:pPr>
      <w:r>
        <w:t xml:space="preserve"> </w:t>
      </w:r>
      <w:r w:rsidR="004037D9">
        <w:t xml:space="preserve">“Managed Earnings, Prior Cost of Capital, and Firm Location.” </w:t>
      </w:r>
      <w:r w:rsidR="008A1789">
        <w:t>with Collins E. Okafor, (u</w:t>
      </w:r>
      <w:r w:rsidR="004037D9">
        <w:t>nder review</w:t>
      </w:r>
      <w:r w:rsidR="008A1789">
        <w:t xml:space="preserve"> – International Journal of Financial Analysis)</w:t>
      </w:r>
      <w:r w:rsidR="004037D9">
        <w:t xml:space="preserve"> </w:t>
      </w:r>
    </w:p>
    <w:p w:rsidR="002F4C14" w:rsidRDefault="004037D9">
      <w:pPr>
        <w:spacing w:after="37" w:line="259" w:lineRule="auto"/>
        <w:ind w:left="101" w:firstLine="0"/>
      </w:pPr>
      <w:r>
        <w:t xml:space="preserve"> </w:t>
      </w:r>
    </w:p>
    <w:p w:rsidR="002F4C14" w:rsidRDefault="004037D9">
      <w:pPr>
        <w:spacing w:after="0" w:line="259" w:lineRule="auto"/>
        <w:ind w:left="96"/>
      </w:pPr>
      <w:r>
        <w:rPr>
          <w:b/>
          <w:sz w:val="21"/>
          <w:u w:val="single" w:color="000000"/>
        </w:rPr>
        <w:t>RESEARCH-IN-PROGESS:</w:t>
      </w:r>
      <w:r>
        <w:rPr>
          <w:b/>
          <w:sz w:val="26"/>
        </w:rPr>
        <w:t xml:space="preserve"> </w:t>
      </w:r>
    </w:p>
    <w:p w:rsidR="002F4C14" w:rsidRDefault="004037D9">
      <w:pPr>
        <w:numPr>
          <w:ilvl w:val="0"/>
          <w:numId w:val="4"/>
        </w:numPr>
        <w:ind w:hanging="360"/>
      </w:pPr>
      <w:r>
        <w:t>“</w:t>
      </w:r>
      <w:r w:rsidR="00D54308">
        <w:t>Working capital and Managerial Ability</w:t>
      </w:r>
      <w:r>
        <w:t xml:space="preserve">”  </w:t>
      </w:r>
    </w:p>
    <w:p w:rsidR="002F4C14" w:rsidRDefault="004037D9">
      <w:pPr>
        <w:numPr>
          <w:ilvl w:val="0"/>
          <w:numId w:val="4"/>
        </w:numPr>
        <w:ind w:hanging="360"/>
      </w:pPr>
      <w:r>
        <w:t>“</w:t>
      </w:r>
      <w:r w:rsidR="00D54308">
        <w:t>Managerial Ability, CSR, and Marketing Activities</w:t>
      </w:r>
      <w:r>
        <w:t>”</w:t>
      </w:r>
      <w:r w:rsidR="00D54308">
        <w:t xml:space="preserve"> with Anna Sadovnikova</w:t>
      </w:r>
      <w:r>
        <w:t xml:space="preserve"> </w:t>
      </w:r>
    </w:p>
    <w:p w:rsidR="002F4C14" w:rsidRDefault="004037D9">
      <w:pPr>
        <w:numPr>
          <w:ilvl w:val="0"/>
          <w:numId w:val="4"/>
        </w:numPr>
        <w:ind w:hanging="360"/>
      </w:pPr>
      <w:r>
        <w:t>“</w:t>
      </w:r>
      <w:r w:rsidR="00D54308">
        <w:t>In light of Investment Op</w:t>
      </w:r>
      <w:r>
        <w:t>portunities</w:t>
      </w:r>
      <w:r w:rsidR="00D54308">
        <w:t xml:space="preserve">: Tax </w:t>
      </w:r>
      <w:r>
        <w:t>Avoidance</w:t>
      </w:r>
      <w:r w:rsidR="00D54308">
        <w:t xml:space="preserve"> and Managerial Ability</w:t>
      </w:r>
      <w:r>
        <w:t>”</w:t>
      </w:r>
      <w:r w:rsidR="00D54308">
        <w:t xml:space="preserve"> with Pei-Yu Sun</w:t>
      </w:r>
      <w:r>
        <w:t xml:space="preserve">  </w:t>
      </w:r>
    </w:p>
    <w:p w:rsidR="002F4C14" w:rsidRDefault="004037D9">
      <w:pPr>
        <w:numPr>
          <w:ilvl w:val="0"/>
          <w:numId w:val="4"/>
        </w:numPr>
        <w:ind w:hanging="360"/>
      </w:pPr>
      <w:r>
        <w:t>“</w:t>
      </w:r>
      <w:r w:rsidR="00D54308">
        <w:t>Happiness, GDP, and FDI – A Multi-level Latent Profile Analysis</w:t>
      </w:r>
      <w:r>
        <w:t>”</w:t>
      </w:r>
      <w:r w:rsidR="00D54308">
        <w:t xml:space="preserve"> with Phil Seok Lee</w:t>
      </w:r>
      <w:r>
        <w:t xml:space="preserve">  </w:t>
      </w:r>
    </w:p>
    <w:p w:rsidR="00D54308" w:rsidRDefault="004037D9">
      <w:pPr>
        <w:numPr>
          <w:ilvl w:val="0"/>
          <w:numId w:val="4"/>
        </w:numPr>
        <w:ind w:hanging="360"/>
      </w:pPr>
      <w:r>
        <w:t>“</w:t>
      </w:r>
      <w:r w:rsidR="00D54308">
        <w:t>Firm Efficiency and Social Capital</w:t>
      </w:r>
      <w:r>
        <w:t>”</w:t>
      </w:r>
      <w:r w:rsidR="00D54308">
        <w:t xml:space="preserve"> with Anand Jha</w:t>
      </w:r>
    </w:p>
    <w:p w:rsidR="002F4C14" w:rsidRDefault="00D54308">
      <w:pPr>
        <w:numPr>
          <w:ilvl w:val="0"/>
          <w:numId w:val="4"/>
        </w:numPr>
        <w:ind w:hanging="360"/>
      </w:pPr>
      <w:r>
        <w:t>“Capital Structure and Social Capital – A test of the Pecking Order” with Siddhart Shankar</w:t>
      </w:r>
      <w:r w:rsidR="004037D9">
        <w:t xml:space="preserve">  </w:t>
      </w:r>
    </w:p>
    <w:p w:rsidR="00521A1A" w:rsidRDefault="00521A1A">
      <w:pPr>
        <w:spacing w:after="85" w:line="259" w:lineRule="auto"/>
        <w:ind w:left="101" w:firstLine="0"/>
      </w:pPr>
    </w:p>
    <w:p w:rsidR="002F4C14" w:rsidRDefault="004037D9">
      <w:pPr>
        <w:spacing w:after="0" w:line="259" w:lineRule="auto"/>
        <w:ind w:left="96"/>
      </w:pPr>
      <w:r>
        <w:rPr>
          <w:b/>
          <w:sz w:val="21"/>
          <w:u w:val="single" w:color="000000"/>
        </w:rPr>
        <w:t>CONFERENCE PRESENTATIONS</w:t>
      </w:r>
      <w:r>
        <w:rPr>
          <w:b/>
          <w:sz w:val="26"/>
          <w:u w:val="single" w:color="000000"/>
        </w:rPr>
        <w:t>:</w:t>
      </w:r>
      <w:r>
        <w:rPr>
          <w:sz w:val="21"/>
        </w:rPr>
        <w:t xml:space="preserve"> </w:t>
      </w:r>
    </w:p>
    <w:p w:rsidR="00D54308" w:rsidRDefault="00D54308" w:rsidP="00D54308">
      <w:pPr>
        <w:numPr>
          <w:ilvl w:val="0"/>
          <w:numId w:val="5"/>
        </w:numPr>
        <w:ind w:hanging="360"/>
      </w:pPr>
      <w:r w:rsidRPr="00D54308">
        <w:t>Walterman, K., Ujah, N. U., 84th International Atlantic Economic Conference, "Gender Matters: Stock Market Reactions to CEO Announcements," International Atlantic Economic Society, Montreal, Montreal, Canada. (October 7, 2016).</w:t>
      </w:r>
    </w:p>
    <w:p w:rsidR="00D54308" w:rsidRDefault="004813A2" w:rsidP="00D54308">
      <w:pPr>
        <w:numPr>
          <w:ilvl w:val="0"/>
          <w:numId w:val="5"/>
        </w:numPr>
        <w:ind w:hanging="360"/>
      </w:pPr>
      <w:r>
        <w:t xml:space="preserve">Bree, D., Tenkorang, F., and </w:t>
      </w:r>
      <w:r w:rsidR="00D54308" w:rsidRPr="00D54308">
        <w:t xml:space="preserve">Ujah, N. U., WEA International Conference, "Availability of Private Credit - Does Culture </w:t>
      </w:r>
      <w:r w:rsidRPr="00D54308">
        <w:t>Matter?</w:t>
      </w:r>
      <w:r w:rsidR="00D54308" w:rsidRPr="00D54308">
        <w:t>" WEA, Marriott Marquis &amp; Marina, San Diego, CA, United States. (June 26, 2017).</w:t>
      </w:r>
    </w:p>
    <w:p w:rsidR="00D54308" w:rsidRDefault="00D54308" w:rsidP="00D54308">
      <w:pPr>
        <w:numPr>
          <w:ilvl w:val="0"/>
          <w:numId w:val="5"/>
        </w:numPr>
        <w:ind w:hanging="360"/>
      </w:pPr>
      <w:r w:rsidRPr="00D54308">
        <w:t xml:space="preserve">Ujah, N. U., Global Awareness Society International Conference, "Financial Openness and Credit Availability - Is Africa </w:t>
      </w:r>
      <w:r w:rsidR="00951CEB" w:rsidRPr="00D54308">
        <w:t>Different?</w:t>
      </w:r>
      <w:r w:rsidRPr="00D54308">
        <w:t>" Global Awareness Society International, Universidad Nacional de Costa Rica, Heredia, Costa Rica. (May 27, 2017).</w:t>
      </w:r>
    </w:p>
    <w:p w:rsidR="00E07C10" w:rsidRDefault="00E07C10" w:rsidP="00D54308">
      <w:pPr>
        <w:numPr>
          <w:ilvl w:val="0"/>
          <w:numId w:val="5"/>
        </w:numPr>
        <w:ind w:hanging="360"/>
      </w:pPr>
      <w:r>
        <w:t xml:space="preserve">Meyer, H. and N. U. Ujah. Managed Earnings: The Negative Impact of Marketing Managers’ Advertising Expenditure on Firm Performance. Presented at the 2016 American Marketing Association Conference in Atlanta, GA. </w:t>
      </w:r>
    </w:p>
    <w:p w:rsidR="00E07C10" w:rsidRDefault="00E07C10">
      <w:pPr>
        <w:numPr>
          <w:ilvl w:val="0"/>
          <w:numId w:val="5"/>
        </w:numPr>
        <w:ind w:hanging="360"/>
      </w:pPr>
      <w:r>
        <w:t xml:space="preserve">Ujah, Nacasius U. and Collins E. Okafor. Executive Compensation, CSR, and Firm Performance: The Effectuating Capacity of the Golden Parachute. Presented at the 2016 Midwest Finance Conference in Atlanta, GA. </w:t>
      </w:r>
    </w:p>
    <w:p w:rsidR="00E07C10" w:rsidRDefault="00E07C10">
      <w:pPr>
        <w:numPr>
          <w:ilvl w:val="0"/>
          <w:numId w:val="5"/>
        </w:numPr>
        <w:ind w:hanging="360"/>
      </w:pPr>
      <w:r>
        <w:t>Okafor</w:t>
      </w:r>
      <w:r w:rsidR="00D54308">
        <w:t xml:space="preserve"> E. C.</w:t>
      </w:r>
      <w:r>
        <w:t xml:space="preserve"> and N. U. Ujah. Executive Compensation and CSR: Does GP matter? Presented at the 2016 World Finance Conference in New York, NY. </w:t>
      </w:r>
    </w:p>
    <w:p w:rsidR="004813A2" w:rsidRDefault="004813A2" w:rsidP="004813A2">
      <w:pPr>
        <w:numPr>
          <w:ilvl w:val="0"/>
          <w:numId w:val="5"/>
        </w:numPr>
        <w:ind w:hanging="360"/>
      </w:pPr>
      <w:r w:rsidRPr="004813A2">
        <w:t>Ujah, N., Southwest Finance Association, "The Influence of Earnings Management and Bank Market Structure on Bank Performance: International Evidence," Southwest Finance Association, Houston, Texas. (March 13, 2015).</w:t>
      </w:r>
    </w:p>
    <w:p w:rsidR="00D54308" w:rsidRDefault="00D54308" w:rsidP="004813A2">
      <w:pPr>
        <w:numPr>
          <w:ilvl w:val="0"/>
          <w:numId w:val="5"/>
        </w:numPr>
        <w:ind w:hanging="360"/>
      </w:pPr>
      <w:r w:rsidRPr="00D54308">
        <w:lastRenderedPageBreak/>
        <w:t>Procasky, W.</w:t>
      </w:r>
      <w:r>
        <w:t xml:space="preserve"> and</w:t>
      </w:r>
      <w:r w:rsidRPr="00D54308">
        <w:t xml:space="preserve"> Ujah, N. Finance and Economics Conference 2014, "Terrorism and Credit Risk," Lupcon Center for Business Research, Munich, Germany. (August 13, 2014).</w:t>
      </w:r>
    </w:p>
    <w:p w:rsidR="00951CEB" w:rsidRDefault="00951CEB" w:rsidP="00951CEB">
      <w:pPr>
        <w:numPr>
          <w:ilvl w:val="0"/>
          <w:numId w:val="5"/>
        </w:numPr>
        <w:ind w:hanging="360"/>
      </w:pPr>
      <w:r>
        <w:t xml:space="preserve">Procasky, W. and </w:t>
      </w:r>
      <w:r w:rsidRPr="00951CEB">
        <w:t>Ujah, N. 2014 Academy of International Business Conference, "Terrorism and its impact on the Cost of Debt," Academy of International Business, Vancouver, Canada. (June 24, 2014).</w:t>
      </w:r>
    </w:p>
    <w:p w:rsidR="002F4C14" w:rsidRDefault="004037D9" w:rsidP="00951CEB">
      <w:pPr>
        <w:numPr>
          <w:ilvl w:val="0"/>
          <w:numId w:val="5"/>
        </w:numPr>
        <w:ind w:hanging="360"/>
      </w:pPr>
      <w:r>
        <w:t xml:space="preserve">Procasky, William and N. U. Ujah. Funds from Operation to Total Debt: A More Efficient Proxy of Capital Structure. Presented at the 2014 Southwestern Finance Association (SWFA) Conference in Dallas, TX. </w:t>
      </w:r>
    </w:p>
    <w:p w:rsidR="002F4C14" w:rsidRDefault="00E07C10">
      <w:pPr>
        <w:numPr>
          <w:ilvl w:val="0"/>
          <w:numId w:val="5"/>
        </w:numPr>
        <w:ind w:hanging="360"/>
      </w:pPr>
      <w:r>
        <w:t>Ujah, Nacasius U.</w:t>
      </w:r>
      <w:r w:rsidR="004037D9">
        <w:t xml:space="preserve"> On the Effect of Golden Parachute on Managed Earnings. Presented at the 2014 Southwestern Finance Association Conference in Dallas, TX and the University of Central Arkansas College of Business Administration brown paper bag research in Conway, AR. </w:t>
      </w:r>
    </w:p>
    <w:p w:rsidR="00951CEB" w:rsidRDefault="00951CEB" w:rsidP="00951CEB">
      <w:pPr>
        <w:numPr>
          <w:ilvl w:val="0"/>
          <w:numId w:val="5"/>
        </w:numPr>
        <w:ind w:hanging="360"/>
      </w:pPr>
      <w:r w:rsidRPr="00951CEB">
        <w:t>Ujah, N. (Author &amp; Presenter), Southwestern Finance Association, "On the Effect of Golden Parachutes on Managed Earnings," Southwestern Finance Association, Dallas, TX. (March 14, 2014).</w:t>
      </w:r>
    </w:p>
    <w:p w:rsidR="002F4C14" w:rsidRDefault="004037D9">
      <w:pPr>
        <w:numPr>
          <w:ilvl w:val="0"/>
          <w:numId w:val="5"/>
        </w:numPr>
        <w:ind w:hanging="360"/>
      </w:pPr>
      <w:r>
        <w:t>Ujah</w:t>
      </w:r>
      <w:r w:rsidR="00E07C10">
        <w:t>, Nacasius U.</w:t>
      </w:r>
      <w:r>
        <w:t xml:space="preserve">, C. E. Okafor, and J. Brusa. Bank Performance, Bank Earnings Management, and Market </w:t>
      </w:r>
    </w:p>
    <w:p w:rsidR="002F4C14" w:rsidRDefault="004037D9">
      <w:pPr>
        <w:ind w:left="471"/>
      </w:pPr>
      <w:r>
        <w:t xml:space="preserve">Structure: Evidence from the Emerging and Frontier Markets. Presented at the 2012 Southwestern Finance Association Conference in New Orleans, Louisiana and the 2012 Midwest Finance Association Conference in New Orleans, Louisiana. </w:t>
      </w:r>
    </w:p>
    <w:p w:rsidR="002F4C14" w:rsidRDefault="004037D9">
      <w:pPr>
        <w:spacing w:after="0" w:line="259" w:lineRule="auto"/>
        <w:ind w:left="101" w:firstLine="0"/>
      </w:pPr>
      <w:r>
        <w:t xml:space="preserve"> </w:t>
      </w:r>
    </w:p>
    <w:p w:rsidR="00907124" w:rsidRDefault="004813A2" w:rsidP="00907124">
      <w:pPr>
        <w:pStyle w:val="Heading1"/>
        <w:ind w:left="10"/>
      </w:pPr>
      <w:r>
        <w:t>DEVELOPMENT ACTIVITIES ATTENDED</w:t>
      </w:r>
      <w:r w:rsidR="00907124">
        <w:rPr>
          <w:b w:val="0"/>
          <w:u w:val="none"/>
        </w:rPr>
        <w:t xml:space="preserve"> </w:t>
      </w:r>
    </w:p>
    <w:p w:rsidR="00907124" w:rsidRDefault="00907124" w:rsidP="00907124">
      <w:pPr>
        <w:pStyle w:val="Heading1"/>
        <w:numPr>
          <w:ilvl w:val="0"/>
          <w:numId w:val="11"/>
        </w:numPr>
        <w:rPr>
          <w:b w:val="0"/>
          <w:u w:val="none"/>
        </w:rPr>
      </w:pPr>
      <w:r w:rsidRPr="00907124">
        <w:rPr>
          <w:b w:val="0"/>
          <w:u w:val="none"/>
        </w:rPr>
        <w:t>Workshop, "Faculty Inquiry Group," South Dakota State University, Brookings, SD, United States. (September 2016 - April 2017).</w:t>
      </w:r>
    </w:p>
    <w:p w:rsidR="00907124" w:rsidRPr="00907124" w:rsidRDefault="00907124" w:rsidP="00907124">
      <w:pPr>
        <w:pStyle w:val="ListParagraph"/>
        <w:numPr>
          <w:ilvl w:val="0"/>
          <w:numId w:val="11"/>
        </w:numPr>
      </w:pPr>
      <w:r>
        <w:t>Certificate</w:t>
      </w:r>
      <w:r w:rsidRPr="00907124">
        <w:t>, "2014 Faculty Online Training," eCampus UNK, Kearney, NE, United States. (September 15, 2014 - November 24, 2014).</w:t>
      </w:r>
    </w:p>
    <w:p w:rsidR="00907124" w:rsidRPr="00907124" w:rsidRDefault="00907124" w:rsidP="00907124"/>
    <w:p w:rsidR="00951CEB" w:rsidRDefault="00951CEB" w:rsidP="00951CEB">
      <w:pPr>
        <w:pStyle w:val="Heading1"/>
        <w:ind w:left="10"/>
      </w:pPr>
      <w:r>
        <w:t>AWARDS AND HONORS</w:t>
      </w:r>
      <w:r>
        <w:rPr>
          <w:b w:val="0"/>
          <w:u w:val="none"/>
        </w:rPr>
        <w:t xml:space="preserve"> </w:t>
      </w:r>
    </w:p>
    <w:p w:rsidR="002F4C14" w:rsidRDefault="00951CEB" w:rsidP="00951CEB">
      <w:pPr>
        <w:pStyle w:val="ListParagraph"/>
        <w:numPr>
          <w:ilvl w:val="0"/>
          <w:numId w:val="9"/>
        </w:numPr>
        <w:spacing w:after="0" w:line="259" w:lineRule="auto"/>
      </w:pPr>
      <w:r w:rsidRPr="00951CEB">
        <w:t>DME Research and Scholarship Incentive, SDSU Ness Division of Management and Economics. (November 2016).</w:t>
      </w:r>
    </w:p>
    <w:p w:rsidR="00951CEB" w:rsidRDefault="00951CEB" w:rsidP="00951CEB">
      <w:pPr>
        <w:pStyle w:val="ListParagraph"/>
        <w:numPr>
          <w:ilvl w:val="0"/>
          <w:numId w:val="9"/>
        </w:numPr>
        <w:spacing w:after="0" w:line="259" w:lineRule="auto"/>
      </w:pPr>
      <w:r w:rsidRPr="00951CEB">
        <w:t>John Becker Faculty Research Incentive, College of Business &amp; Technology University of Nebraska at Kearney. (November 2015).</w:t>
      </w:r>
    </w:p>
    <w:p w:rsidR="00951CEB" w:rsidRDefault="00951CEB" w:rsidP="00951CEB">
      <w:pPr>
        <w:spacing w:after="0" w:line="259" w:lineRule="auto"/>
        <w:ind w:left="360" w:firstLine="0"/>
      </w:pPr>
    </w:p>
    <w:p w:rsidR="002F4C14" w:rsidRDefault="004037D9">
      <w:pPr>
        <w:spacing w:after="0" w:line="259" w:lineRule="auto"/>
        <w:ind w:left="0" w:firstLine="0"/>
        <w:rPr>
          <w:rFonts w:ascii="Calibri" w:eastAsia="Calibri" w:hAnsi="Calibri" w:cs="Calibri"/>
        </w:rPr>
      </w:pPr>
      <w:r>
        <w:rPr>
          <w:rFonts w:ascii="Calibri" w:eastAsia="Calibri" w:hAnsi="Calibri" w:cs="Calibri"/>
        </w:rPr>
        <w:t xml:space="preserve"> </w:t>
      </w:r>
    </w:p>
    <w:p w:rsidR="002F4C14" w:rsidRDefault="004037D9">
      <w:pPr>
        <w:pStyle w:val="Heading1"/>
        <w:ind w:left="10"/>
      </w:pPr>
      <w:r>
        <w:t>SERVICE AND PROFESSIONAL DEVELOPMENT</w:t>
      </w:r>
      <w:r>
        <w:rPr>
          <w:b w:val="0"/>
          <w:u w:val="none"/>
        </w:rPr>
        <w:t xml:space="preserve"> </w:t>
      </w:r>
    </w:p>
    <w:p w:rsidR="00951CEB" w:rsidRDefault="00951CEB">
      <w:pPr>
        <w:ind w:left="276"/>
      </w:pPr>
      <w:r>
        <w:t>South Dakota State University</w:t>
      </w:r>
    </w:p>
    <w:p w:rsidR="00951CEB" w:rsidRDefault="00951CEB">
      <w:pPr>
        <w:ind w:left="276"/>
      </w:pPr>
      <w:r>
        <w:t>Department Service</w:t>
      </w:r>
    </w:p>
    <w:p w:rsidR="00951CEB" w:rsidRDefault="00951CEB" w:rsidP="00951CEB">
      <w:pPr>
        <w:pStyle w:val="ListParagraph"/>
        <w:numPr>
          <w:ilvl w:val="0"/>
          <w:numId w:val="8"/>
        </w:numPr>
      </w:pPr>
      <w:r>
        <w:t>Member of MS in Business Economics steering committee</w:t>
      </w:r>
    </w:p>
    <w:p w:rsidR="00951CEB" w:rsidRDefault="00951CEB">
      <w:pPr>
        <w:ind w:left="276"/>
      </w:pPr>
    </w:p>
    <w:p w:rsidR="00951CEB" w:rsidRDefault="00951CEB">
      <w:pPr>
        <w:ind w:left="276"/>
      </w:pPr>
      <w:r>
        <w:t>University of Nebraska at Kearney</w:t>
      </w:r>
    </w:p>
    <w:p w:rsidR="002F4C14" w:rsidRDefault="004037D9">
      <w:pPr>
        <w:ind w:left="276"/>
      </w:pPr>
      <w:r>
        <w:t xml:space="preserve">College and Department Service  </w:t>
      </w:r>
    </w:p>
    <w:p w:rsidR="002F4C14" w:rsidRDefault="004037D9">
      <w:pPr>
        <w:numPr>
          <w:ilvl w:val="0"/>
          <w:numId w:val="6"/>
        </w:numPr>
        <w:ind w:hanging="360"/>
      </w:pPr>
      <w:r>
        <w:t xml:space="preserve">Chair, Faculty Development Committee </w:t>
      </w:r>
    </w:p>
    <w:p w:rsidR="002F4C14" w:rsidRDefault="004037D9">
      <w:pPr>
        <w:numPr>
          <w:ilvl w:val="0"/>
          <w:numId w:val="6"/>
        </w:numPr>
        <w:ind w:hanging="360"/>
      </w:pPr>
      <w:r>
        <w:t xml:space="preserve">Advisor, Financial Management Association </w:t>
      </w:r>
    </w:p>
    <w:p w:rsidR="002F4C14" w:rsidRDefault="004037D9">
      <w:pPr>
        <w:numPr>
          <w:ilvl w:val="0"/>
          <w:numId w:val="6"/>
        </w:numPr>
        <w:ind w:hanging="360"/>
      </w:pPr>
      <w:r>
        <w:t xml:space="preserve">Member, Student Recruitment  </w:t>
      </w:r>
    </w:p>
    <w:p w:rsidR="002F4C14" w:rsidRDefault="004037D9">
      <w:pPr>
        <w:spacing w:after="0" w:line="259" w:lineRule="auto"/>
        <w:ind w:left="0" w:firstLine="0"/>
      </w:pPr>
      <w:r>
        <w:t xml:space="preserve">     </w:t>
      </w:r>
    </w:p>
    <w:p w:rsidR="002F4C14" w:rsidRDefault="004037D9">
      <w:pPr>
        <w:ind w:left="10"/>
      </w:pPr>
      <w:r>
        <w:t xml:space="preserve">     University Service </w:t>
      </w:r>
    </w:p>
    <w:p w:rsidR="002F4C14" w:rsidRDefault="004037D9">
      <w:pPr>
        <w:numPr>
          <w:ilvl w:val="0"/>
          <w:numId w:val="6"/>
        </w:numPr>
        <w:ind w:hanging="360"/>
      </w:pPr>
      <w:r>
        <w:t xml:space="preserve">International Studies Advisory Council </w:t>
      </w:r>
    </w:p>
    <w:p w:rsidR="002F4C14" w:rsidRDefault="004037D9">
      <w:pPr>
        <w:spacing w:after="0" w:line="259" w:lineRule="auto"/>
        <w:ind w:left="0" w:firstLine="0"/>
      </w:pPr>
      <w:r>
        <w:t xml:space="preserve">  </w:t>
      </w:r>
    </w:p>
    <w:p w:rsidR="002F4C14" w:rsidRDefault="004037D9">
      <w:pPr>
        <w:ind w:left="10"/>
      </w:pPr>
      <w:r>
        <w:t xml:space="preserve">     Service to the Profession </w:t>
      </w:r>
    </w:p>
    <w:p w:rsidR="00951CEB" w:rsidRDefault="004037D9">
      <w:pPr>
        <w:numPr>
          <w:ilvl w:val="0"/>
          <w:numId w:val="6"/>
        </w:numPr>
        <w:ind w:hanging="360"/>
      </w:pPr>
      <w:r>
        <w:t>Review</w:t>
      </w:r>
      <w:r w:rsidR="00951CEB">
        <w:t>er;</w:t>
      </w:r>
      <w:r>
        <w:t xml:space="preserve"> Southwestern Finance Association, Decision Science Institute, Academy of International Business,</w:t>
      </w:r>
      <w:r w:rsidR="00951CEB">
        <w:t xml:space="preserve"> Financial Management Association</w:t>
      </w:r>
      <w:r>
        <w:t xml:space="preserve"> </w:t>
      </w:r>
    </w:p>
    <w:p w:rsidR="002F4C14" w:rsidRDefault="004037D9">
      <w:pPr>
        <w:numPr>
          <w:ilvl w:val="0"/>
          <w:numId w:val="6"/>
        </w:numPr>
        <w:ind w:hanging="360"/>
      </w:pPr>
      <w:r>
        <w:t>Discussant and Chair, S</w:t>
      </w:r>
      <w:r w:rsidR="00951CEB">
        <w:t xml:space="preserve">outhwestern Finance Association, International Association of Economic Society </w:t>
      </w:r>
    </w:p>
    <w:p w:rsidR="002F4C14" w:rsidRDefault="004037D9">
      <w:pPr>
        <w:numPr>
          <w:ilvl w:val="0"/>
          <w:numId w:val="6"/>
        </w:numPr>
        <w:ind w:hanging="360"/>
      </w:pPr>
      <w:r>
        <w:t>Membership, Financial Management Association, American Finance Association, Academy of International Business, Southwestern Finance Associati</w:t>
      </w:r>
      <w:r w:rsidR="00951CEB">
        <w:t>on</w:t>
      </w:r>
    </w:p>
    <w:p w:rsidR="002F4C14" w:rsidRDefault="004037D9">
      <w:pPr>
        <w:spacing w:after="0" w:line="259" w:lineRule="auto"/>
        <w:ind w:left="281" w:firstLine="0"/>
      </w:pPr>
      <w:r>
        <w:t xml:space="preserve"> </w:t>
      </w:r>
    </w:p>
    <w:p w:rsidR="002F4C14" w:rsidRDefault="004037D9">
      <w:pPr>
        <w:pStyle w:val="Heading1"/>
        <w:ind w:left="291"/>
      </w:pPr>
      <w:r>
        <w:t>INDUSTRY EXPERIENCE</w:t>
      </w:r>
      <w:r>
        <w:rPr>
          <w:b w:val="0"/>
          <w:u w:val="none"/>
        </w:rPr>
        <w:t xml:space="preserve"> </w:t>
      </w:r>
    </w:p>
    <w:p w:rsidR="002F4C14" w:rsidRDefault="004037D9">
      <w:pPr>
        <w:ind w:left="1011" w:right="397"/>
      </w:pPr>
      <w:r>
        <w:t xml:space="preserve">Seven years of Consulting, Economic Development, and Loan Valuations experience in ECOWAS (West Africa), Arvest Bank (US), and Brewer-Hegeman Consulting (US) </w:t>
      </w:r>
    </w:p>
    <w:p w:rsidR="002F4C14" w:rsidRDefault="004037D9" w:rsidP="00907124">
      <w:pPr>
        <w:spacing w:after="37" w:line="259" w:lineRule="auto"/>
        <w:ind w:left="0" w:firstLine="0"/>
      </w:pPr>
      <w:r>
        <w:rPr>
          <w:rFonts w:ascii="Calibri" w:eastAsia="Calibri" w:hAnsi="Calibri" w:cs="Calibri"/>
          <w:sz w:val="11"/>
        </w:rPr>
        <w:t xml:space="preserve"> </w:t>
      </w:r>
      <w:r>
        <w:rPr>
          <w:rFonts w:ascii="Calibri" w:eastAsia="Calibri" w:hAnsi="Calibri" w:cs="Calibri"/>
          <w:sz w:val="28"/>
        </w:rPr>
        <w:t xml:space="preserve"> </w:t>
      </w:r>
    </w:p>
    <w:p w:rsidR="002F4C14" w:rsidRDefault="004037D9" w:rsidP="00E07C10">
      <w:pPr>
        <w:spacing w:after="0" w:line="259" w:lineRule="auto"/>
        <w:ind w:left="0" w:firstLine="0"/>
      </w:pPr>
      <w:r>
        <w:rPr>
          <w:rFonts w:ascii="Calibri" w:eastAsia="Calibri" w:hAnsi="Calibri" w:cs="Calibri"/>
          <w:sz w:val="22"/>
        </w:rPr>
        <w:t xml:space="preserve"> </w:t>
      </w:r>
      <w:r>
        <w:rPr>
          <w:sz w:val="22"/>
        </w:rPr>
        <w:t xml:space="preserve"> </w:t>
      </w:r>
      <w:r>
        <w:rPr>
          <w:sz w:val="22"/>
        </w:rPr>
        <w:tab/>
        <w:t xml:space="preserve"> </w:t>
      </w:r>
    </w:p>
    <w:p w:rsidR="002F4C14" w:rsidRDefault="002F4C14">
      <w:pPr>
        <w:spacing w:after="0" w:line="259" w:lineRule="auto"/>
        <w:ind w:left="281" w:firstLine="0"/>
      </w:pPr>
    </w:p>
    <w:sectPr w:rsidR="002F4C14">
      <w:footerReference w:type="even" r:id="rId7"/>
      <w:footerReference w:type="default" r:id="rId8"/>
      <w:footerReference w:type="first" r:id="rId9"/>
      <w:pgSz w:w="12240" w:h="15840"/>
      <w:pgMar w:top="663" w:right="1248" w:bottom="1059" w:left="1159" w:header="72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FB8" w:rsidRDefault="00A06FB8">
      <w:pPr>
        <w:spacing w:after="0" w:line="240" w:lineRule="auto"/>
      </w:pPr>
      <w:r>
        <w:separator/>
      </w:r>
    </w:p>
  </w:endnote>
  <w:endnote w:type="continuationSeparator" w:id="0">
    <w:p w:rsidR="00A06FB8" w:rsidRDefault="00A06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C14" w:rsidRDefault="004037D9">
    <w:pPr>
      <w:tabs>
        <w:tab w:val="center" w:pos="5008"/>
      </w:tabs>
      <w:spacing w:after="0" w:line="259" w:lineRule="auto"/>
      <w:ind w:left="0" w:firstLine="0"/>
    </w:pPr>
    <w:r>
      <w:rPr>
        <w:rFonts w:ascii="Calibri" w:eastAsia="Calibri" w:hAnsi="Calibri" w:cs="Calibri"/>
      </w:rPr>
      <w:t xml:space="preserve"> </w:t>
    </w:r>
    <w:r>
      <w:rPr>
        <w:rFonts w:ascii="Calibri" w:eastAsia="Calibri" w:hAnsi="Calibri" w:cs="Calibri"/>
      </w:rPr>
      <w:tab/>
    </w:r>
    <w:r>
      <w:rPr>
        <w:rFonts w:ascii="Book Antiqua" w:eastAsia="Book Antiqua" w:hAnsi="Book Antiqua" w:cs="Book Antiqua"/>
        <w:sz w:val="18"/>
      </w:rPr>
      <w:t xml:space="preserve">Page </w:t>
    </w:r>
    <w:r>
      <w:fldChar w:fldCharType="begin"/>
    </w:r>
    <w:r>
      <w:instrText xml:space="preserve"> PAGE   \* MERGEFORMAT </w:instrText>
    </w:r>
    <w:r>
      <w:fldChar w:fldCharType="separate"/>
    </w:r>
    <w:r>
      <w:rPr>
        <w:rFonts w:ascii="Book Antiqua" w:eastAsia="Book Antiqua" w:hAnsi="Book Antiqua" w:cs="Book Antiqua"/>
        <w:sz w:val="18"/>
      </w:rPr>
      <w:t>1</w:t>
    </w:r>
    <w:r>
      <w:rPr>
        <w:rFonts w:ascii="Book Antiqua" w:eastAsia="Book Antiqua" w:hAnsi="Book Antiqua" w:cs="Book Antiqua"/>
        <w:sz w:val="18"/>
      </w:rPr>
      <w:fldChar w:fldCharType="end"/>
    </w:r>
    <w:r>
      <w:rPr>
        <w:rFonts w:ascii="Book Antiqua" w:eastAsia="Book Antiqua" w:hAnsi="Book Antiqua" w:cs="Book Antiqua"/>
        <w:sz w:val="18"/>
      </w:rPr>
      <w:t xml:space="preserve"> of 2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C14" w:rsidRDefault="004037D9">
    <w:pPr>
      <w:tabs>
        <w:tab w:val="center" w:pos="5008"/>
      </w:tabs>
      <w:spacing w:after="0" w:line="259" w:lineRule="auto"/>
      <w:ind w:left="0" w:firstLine="0"/>
    </w:pPr>
    <w:r>
      <w:rPr>
        <w:rFonts w:ascii="Calibri" w:eastAsia="Calibri" w:hAnsi="Calibri" w:cs="Calibri"/>
      </w:rPr>
      <w:t xml:space="preserve"> </w:t>
    </w:r>
    <w:r>
      <w:rPr>
        <w:rFonts w:ascii="Calibri" w:eastAsia="Calibri" w:hAnsi="Calibri" w:cs="Calibri"/>
      </w:rPr>
      <w:tab/>
    </w:r>
    <w:r>
      <w:rPr>
        <w:rFonts w:ascii="Book Antiqua" w:eastAsia="Book Antiqua" w:hAnsi="Book Antiqua" w:cs="Book Antiqua"/>
        <w:sz w:val="18"/>
      </w:rPr>
      <w:t xml:space="preserve">Page </w:t>
    </w:r>
    <w:r>
      <w:fldChar w:fldCharType="begin"/>
    </w:r>
    <w:r>
      <w:instrText xml:space="preserve"> PAGE   \* MERGEFORMAT </w:instrText>
    </w:r>
    <w:r>
      <w:fldChar w:fldCharType="separate"/>
    </w:r>
    <w:r w:rsidR="00E84A6A" w:rsidRPr="00E84A6A">
      <w:rPr>
        <w:rFonts w:ascii="Book Antiqua" w:eastAsia="Book Antiqua" w:hAnsi="Book Antiqua" w:cs="Book Antiqua"/>
        <w:noProof/>
        <w:sz w:val="18"/>
      </w:rPr>
      <w:t>2</w:t>
    </w:r>
    <w:r>
      <w:rPr>
        <w:rFonts w:ascii="Book Antiqua" w:eastAsia="Book Antiqua" w:hAnsi="Book Antiqua" w:cs="Book Antiqua"/>
        <w:sz w:val="18"/>
      </w:rPr>
      <w:fldChar w:fldCharType="end"/>
    </w:r>
    <w:r>
      <w:rPr>
        <w:rFonts w:ascii="Book Antiqua" w:eastAsia="Book Antiqua" w:hAnsi="Book Antiqua" w:cs="Book Antiqua"/>
        <w:sz w:val="18"/>
      </w:rPr>
      <w:t xml:space="preserve"> of 2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C14" w:rsidRDefault="004037D9">
    <w:pPr>
      <w:tabs>
        <w:tab w:val="center" w:pos="5008"/>
      </w:tabs>
      <w:spacing w:after="0" w:line="259" w:lineRule="auto"/>
      <w:ind w:left="0" w:firstLine="0"/>
    </w:pPr>
    <w:r>
      <w:rPr>
        <w:rFonts w:ascii="Calibri" w:eastAsia="Calibri" w:hAnsi="Calibri" w:cs="Calibri"/>
      </w:rPr>
      <w:t xml:space="preserve"> </w:t>
    </w:r>
    <w:r>
      <w:rPr>
        <w:rFonts w:ascii="Calibri" w:eastAsia="Calibri" w:hAnsi="Calibri" w:cs="Calibri"/>
      </w:rPr>
      <w:tab/>
    </w:r>
    <w:r>
      <w:rPr>
        <w:rFonts w:ascii="Book Antiqua" w:eastAsia="Book Antiqua" w:hAnsi="Book Antiqua" w:cs="Book Antiqua"/>
        <w:sz w:val="18"/>
      </w:rPr>
      <w:t xml:space="preserve">Page </w:t>
    </w:r>
    <w:r>
      <w:fldChar w:fldCharType="begin"/>
    </w:r>
    <w:r>
      <w:instrText xml:space="preserve"> PAGE   \* MERGEFORMAT </w:instrText>
    </w:r>
    <w:r>
      <w:fldChar w:fldCharType="separate"/>
    </w:r>
    <w:r>
      <w:rPr>
        <w:rFonts w:ascii="Book Antiqua" w:eastAsia="Book Antiqua" w:hAnsi="Book Antiqua" w:cs="Book Antiqua"/>
        <w:sz w:val="18"/>
      </w:rPr>
      <w:t>1</w:t>
    </w:r>
    <w:r>
      <w:rPr>
        <w:rFonts w:ascii="Book Antiqua" w:eastAsia="Book Antiqua" w:hAnsi="Book Antiqua" w:cs="Book Antiqua"/>
        <w:sz w:val="18"/>
      </w:rPr>
      <w:fldChar w:fldCharType="end"/>
    </w:r>
    <w:r>
      <w:rPr>
        <w:rFonts w:ascii="Book Antiqua" w:eastAsia="Book Antiqua" w:hAnsi="Book Antiqua" w:cs="Book Antiqua"/>
        <w:sz w:val="18"/>
      </w:rPr>
      <w:t xml:space="preserve"> of 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FB8" w:rsidRDefault="00A06FB8">
      <w:pPr>
        <w:spacing w:after="0" w:line="240" w:lineRule="auto"/>
      </w:pPr>
      <w:r>
        <w:separator/>
      </w:r>
    </w:p>
  </w:footnote>
  <w:footnote w:type="continuationSeparator" w:id="0">
    <w:p w:rsidR="00A06FB8" w:rsidRDefault="00A06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46B3"/>
    <w:multiLevelType w:val="hybridMultilevel"/>
    <w:tmpl w:val="17348946"/>
    <w:lvl w:ilvl="0" w:tplc="E2CAF3BC">
      <w:start w:val="1"/>
      <w:numFmt w:val="bullet"/>
      <w:lvlText w:val="-"/>
      <w:lvlJc w:val="left"/>
      <w:pPr>
        <w:ind w:left="8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7C8F00C">
      <w:start w:val="1"/>
      <w:numFmt w:val="bullet"/>
      <w:lvlText w:val="o"/>
      <w:lvlJc w:val="left"/>
      <w:pPr>
        <w:ind w:left="15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A1A733C">
      <w:start w:val="1"/>
      <w:numFmt w:val="bullet"/>
      <w:lvlText w:val="▪"/>
      <w:lvlJc w:val="left"/>
      <w:pPr>
        <w:ind w:left="22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70E6E4">
      <w:start w:val="1"/>
      <w:numFmt w:val="bullet"/>
      <w:lvlText w:val="•"/>
      <w:lvlJc w:val="left"/>
      <w:pPr>
        <w:ind w:left="29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520E44">
      <w:start w:val="1"/>
      <w:numFmt w:val="bullet"/>
      <w:lvlText w:val="o"/>
      <w:lvlJc w:val="left"/>
      <w:pPr>
        <w:ind w:left="37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980CC96">
      <w:start w:val="1"/>
      <w:numFmt w:val="bullet"/>
      <w:lvlText w:val="▪"/>
      <w:lvlJc w:val="left"/>
      <w:pPr>
        <w:ind w:left="44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CC72A8">
      <w:start w:val="1"/>
      <w:numFmt w:val="bullet"/>
      <w:lvlText w:val="•"/>
      <w:lvlJc w:val="left"/>
      <w:pPr>
        <w:ind w:left="51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BAA5D6">
      <w:start w:val="1"/>
      <w:numFmt w:val="bullet"/>
      <w:lvlText w:val="o"/>
      <w:lvlJc w:val="left"/>
      <w:pPr>
        <w:ind w:left="58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0F24408">
      <w:start w:val="1"/>
      <w:numFmt w:val="bullet"/>
      <w:lvlText w:val="▪"/>
      <w:lvlJc w:val="left"/>
      <w:pPr>
        <w:ind w:left="65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9E6DC6"/>
    <w:multiLevelType w:val="hybridMultilevel"/>
    <w:tmpl w:val="182244C4"/>
    <w:lvl w:ilvl="0" w:tplc="9FDAFAC4">
      <w:start w:val="1"/>
      <w:numFmt w:val="decimal"/>
      <w:lvlText w:val="%1."/>
      <w:lvlJc w:val="left"/>
      <w:pPr>
        <w:ind w:left="4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AFC4ED8">
      <w:start w:val="1"/>
      <w:numFmt w:val="lowerLetter"/>
      <w:lvlText w:val="%2"/>
      <w:lvlJc w:val="left"/>
      <w:pPr>
        <w:ind w:left="1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448B12">
      <w:start w:val="1"/>
      <w:numFmt w:val="lowerRoman"/>
      <w:lvlText w:val="%3"/>
      <w:lvlJc w:val="left"/>
      <w:pPr>
        <w:ind w:left="1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52CCF92">
      <w:start w:val="1"/>
      <w:numFmt w:val="decimal"/>
      <w:lvlText w:val="%4"/>
      <w:lvlJc w:val="left"/>
      <w:pPr>
        <w:ind w:left="26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76DD4A">
      <w:start w:val="1"/>
      <w:numFmt w:val="lowerLetter"/>
      <w:lvlText w:val="%5"/>
      <w:lvlJc w:val="left"/>
      <w:pPr>
        <w:ind w:left="3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440A1E">
      <w:start w:val="1"/>
      <w:numFmt w:val="lowerRoman"/>
      <w:lvlText w:val="%6"/>
      <w:lvlJc w:val="left"/>
      <w:pPr>
        <w:ind w:left="40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B2719A">
      <w:start w:val="1"/>
      <w:numFmt w:val="decimal"/>
      <w:lvlText w:val="%7"/>
      <w:lvlJc w:val="left"/>
      <w:pPr>
        <w:ind w:left="47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9BEB87A">
      <w:start w:val="1"/>
      <w:numFmt w:val="lowerLetter"/>
      <w:lvlText w:val="%8"/>
      <w:lvlJc w:val="left"/>
      <w:pPr>
        <w:ind w:left="55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7038CA">
      <w:start w:val="1"/>
      <w:numFmt w:val="lowerRoman"/>
      <w:lvlText w:val="%9"/>
      <w:lvlJc w:val="left"/>
      <w:pPr>
        <w:ind w:left="62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88C4B3C"/>
    <w:multiLevelType w:val="hybridMultilevel"/>
    <w:tmpl w:val="F7900D64"/>
    <w:lvl w:ilvl="0" w:tplc="FE74504A">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98BD3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381C0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269F1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456791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20CB2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FE529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5231C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AC6D86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15B1D4F"/>
    <w:multiLevelType w:val="hybridMultilevel"/>
    <w:tmpl w:val="E16EE0A0"/>
    <w:lvl w:ilvl="0" w:tplc="BA42FADE">
      <w:start w:val="8"/>
      <w:numFmt w:val="bullet"/>
      <w:lvlText w:val="-"/>
      <w:lvlJc w:val="left"/>
      <w:pPr>
        <w:ind w:left="626" w:hanging="360"/>
      </w:pPr>
      <w:rPr>
        <w:rFonts w:ascii="Times New Roman" w:eastAsia="Times New Roman" w:hAnsi="Times New Roman" w:cs="Times New Roman" w:hint="default"/>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4" w15:restartNumberingAfterBreak="0">
    <w:nsid w:val="394F5052"/>
    <w:multiLevelType w:val="hybridMultilevel"/>
    <w:tmpl w:val="D72686CA"/>
    <w:lvl w:ilvl="0" w:tplc="6992622E">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5" w15:restartNumberingAfterBreak="0">
    <w:nsid w:val="41FD4540"/>
    <w:multiLevelType w:val="hybridMultilevel"/>
    <w:tmpl w:val="E0E8A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1E7EB6"/>
    <w:multiLevelType w:val="hybridMultilevel"/>
    <w:tmpl w:val="B636DFF4"/>
    <w:lvl w:ilvl="0" w:tplc="4972EDCC">
      <w:start w:val="1"/>
      <w:numFmt w:val="decimal"/>
      <w:lvlText w:val="%1."/>
      <w:lvlJc w:val="left"/>
      <w:pPr>
        <w:ind w:left="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3CCC08">
      <w:start w:val="1"/>
      <w:numFmt w:val="lowerLetter"/>
      <w:lvlText w:val="%2"/>
      <w:lvlJc w:val="left"/>
      <w:pPr>
        <w:ind w:left="1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90EB494">
      <w:start w:val="1"/>
      <w:numFmt w:val="lowerRoman"/>
      <w:lvlText w:val="%3"/>
      <w:lvlJc w:val="left"/>
      <w:pPr>
        <w:ind w:left="1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05C0862">
      <w:start w:val="1"/>
      <w:numFmt w:val="decimal"/>
      <w:lvlText w:val="%4"/>
      <w:lvlJc w:val="left"/>
      <w:pPr>
        <w:ind w:left="2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6A06B88">
      <w:start w:val="1"/>
      <w:numFmt w:val="lowerLetter"/>
      <w:lvlText w:val="%5"/>
      <w:lvlJc w:val="left"/>
      <w:pPr>
        <w:ind w:left="3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AAB8E6">
      <w:start w:val="1"/>
      <w:numFmt w:val="lowerRoman"/>
      <w:lvlText w:val="%6"/>
      <w:lvlJc w:val="left"/>
      <w:pPr>
        <w:ind w:left="4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5A5EAA">
      <w:start w:val="1"/>
      <w:numFmt w:val="decimal"/>
      <w:lvlText w:val="%7"/>
      <w:lvlJc w:val="left"/>
      <w:pPr>
        <w:ind w:left="4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AE94AA">
      <w:start w:val="1"/>
      <w:numFmt w:val="lowerLetter"/>
      <w:lvlText w:val="%8"/>
      <w:lvlJc w:val="left"/>
      <w:pPr>
        <w:ind w:left="5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8459D6">
      <w:start w:val="1"/>
      <w:numFmt w:val="lowerRoman"/>
      <w:lvlText w:val="%9"/>
      <w:lvlJc w:val="left"/>
      <w:pPr>
        <w:ind w:left="6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CFB2D88"/>
    <w:multiLevelType w:val="hybridMultilevel"/>
    <w:tmpl w:val="E0722420"/>
    <w:lvl w:ilvl="0" w:tplc="6C64C48A">
      <w:start w:val="1"/>
      <w:numFmt w:val="decimal"/>
      <w:lvlText w:val="%1."/>
      <w:lvlJc w:val="left"/>
      <w:pPr>
        <w:ind w:left="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B64C3F0">
      <w:start w:val="1"/>
      <w:numFmt w:val="lowerLetter"/>
      <w:lvlText w:val="%2"/>
      <w:lvlJc w:val="left"/>
      <w:pPr>
        <w:ind w:left="1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6A8DF0">
      <w:start w:val="1"/>
      <w:numFmt w:val="lowerRoman"/>
      <w:lvlText w:val="%3"/>
      <w:lvlJc w:val="left"/>
      <w:pPr>
        <w:ind w:left="1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C2BA12">
      <w:start w:val="1"/>
      <w:numFmt w:val="decimal"/>
      <w:lvlText w:val="%4"/>
      <w:lvlJc w:val="left"/>
      <w:pPr>
        <w:ind w:left="2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22EB62">
      <w:start w:val="1"/>
      <w:numFmt w:val="lowerLetter"/>
      <w:lvlText w:val="%5"/>
      <w:lvlJc w:val="left"/>
      <w:pPr>
        <w:ind w:left="3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B667C8">
      <w:start w:val="1"/>
      <w:numFmt w:val="lowerRoman"/>
      <w:lvlText w:val="%6"/>
      <w:lvlJc w:val="left"/>
      <w:pPr>
        <w:ind w:left="4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E9E2218">
      <w:start w:val="1"/>
      <w:numFmt w:val="decimal"/>
      <w:lvlText w:val="%7"/>
      <w:lvlJc w:val="left"/>
      <w:pPr>
        <w:ind w:left="4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10EC20">
      <w:start w:val="1"/>
      <w:numFmt w:val="lowerLetter"/>
      <w:lvlText w:val="%8"/>
      <w:lvlJc w:val="left"/>
      <w:pPr>
        <w:ind w:left="5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9A0028">
      <w:start w:val="1"/>
      <w:numFmt w:val="lowerRoman"/>
      <w:lvlText w:val="%9"/>
      <w:lvlJc w:val="left"/>
      <w:pPr>
        <w:ind w:left="6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FF27306"/>
    <w:multiLevelType w:val="hybridMultilevel"/>
    <w:tmpl w:val="EC0C42E2"/>
    <w:lvl w:ilvl="0" w:tplc="248A1DD4">
      <w:start w:val="1"/>
      <w:numFmt w:val="decimal"/>
      <w:lvlText w:val="%1."/>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5B6941C">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3A1316">
      <w:start w:val="1"/>
      <w:numFmt w:val="lowerRoman"/>
      <w:lvlText w:val="%3"/>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C48BD80">
      <w:start w:val="1"/>
      <w:numFmt w:val="decimal"/>
      <w:lvlText w:val="%4"/>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0C6B3A">
      <w:start w:val="1"/>
      <w:numFmt w:val="lowerLetter"/>
      <w:lvlText w:val="%5"/>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36053D4">
      <w:start w:val="1"/>
      <w:numFmt w:val="lowerRoman"/>
      <w:lvlText w:val="%6"/>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3D0B590">
      <w:start w:val="1"/>
      <w:numFmt w:val="decimal"/>
      <w:lvlText w:val="%7"/>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2106AE8">
      <w:start w:val="1"/>
      <w:numFmt w:val="lowerLetter"/>
      <w:lvlText w:val="%8"/>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6AEA38">
      <w:start w:val="1"/>
      <w:numFmt w:val="lowerRoman"/>
      <w:lvlText w:val="%9"/>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1646BE5"/>
    <w:multiLevelType w:val="hybridMultilevel"/>
    <w:tmpl w:val="1D7A584A"/>
    <w:lvl w:ilvl="0" w:tplc="83F4CA94">
      <w:start w:val="1"/>
      <w:numFmt w:val="decimal"/>
      <w:lvlText w:val="%1."/>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716C6CC">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6E3FD4">
      <w:start w:val="1"/>
      <w:numFmt w:val="lowerRoman"/>
      <w:lvlText w:val="%3"/>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162806">
      <w:start w:val="1"/>
      <w:numFmt w:val="decimal"/>
      <w:lvlText w:val="%4"/>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EC61170">
      <w:start w:val="1"/>
      <w:numFmt w:val="lowerLetter"/>
      <w:lvlText w:val="%5"/>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B589A7C">
      <w:start w:val="1"/>
      <w:numFmt w:val="lowerRoman"/>
      <w:lvlText w:val="%6"/>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14036F4">
      <w:start w:val="1"/>
      <w:numFmt w:val="decimal"/>
      <w:lvlText w:val="%7"/>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46833A">
      <w:start w:val="1"/>
      <w:numFmt w:val="lowerLetter"/>
      <w:lvlText w:val="%8"/>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AA3B2A">
      <w:start w:val="1"/>
      <w:numFmt w:val="lowerRoman"/>
      <w:lvlText w:val="%9"/>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DF164CD"/>
    <w:multiLevelType w:val="hybridMultilevel"/>
    <w:tmpl w:val="E1DE9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9"/>
  </w:num>
  <w:num w:numId="5">
    <w:abstractNumId w:val="1"/>
  </w:num>
  <w:num w:numId="6">
    <w:abstractNumId w:val="0"/>
  </w:num>
  <w:num w:numId="7">
    <w:abstractNumId w:val="7"/>
  </w:num>
  <w:num w:numId="8">
    <w:abstractNumId w:val="3"/>
  </w:num>
  <w:num w:numId="9">
    <w:abstractNumId w:val="1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C14"/>
    <w:rsid w:val="002F4C14"/>
    <w:rsid w:val="003D77C8"/>
    <w:rsid w:val="004037D9"/>
    <w:rsid w:val="004813A2"/>
    <w:rsid w:val="0050548D"/>
    <w:rsid w:val="00521A1A"/>
    <w:rsid w:val="005D4E35"/>
    <w:rsid w:val="00623FB6"/>
    <w:rsid w:val="007B7873"/>
    <w:rsid w:val="00832971"/>
    <w:rsid w:val="008A1789"/>
    <w:rsid w:val="00907124"/>
    <w:rsid w:val="00951CEB"/>
    <w:rsid w:val="00A06FB8"/>
    <w:rsid w:val="00A14C01"/>
    <w:rsid w:val="00B40D4E"/>
    <w:rsid w:val="00B83CBC"/>
    <w:rsid w:val="00D54308"/>
    <w:rsid w:val="00E07C10"/>
    <w:rsid w:val="00E84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13042-7E94-4D56-838F-320CEA4E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51" w:lineRule="auto"/>
      <w:ind w:left="166"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11" w:hanging="10"/>
      <w:outlineLvl w:val="0"/>
    </w:pPr>
    <w:rPr>
      <w:rFonts w:ascii="Times New Roman" w:eastAsia="Times New Roman" w:hAnsi="Times New Roman" w:cs="Times New Roman"/>
      <w:b/>
      <w:color w:val="000000"/>
      <w:sz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1"/>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51CEB"/>
    <w:pPr>
      <w:ind w:left="720"/>
      <w:contextualSpacing/>
    </w:pPr>
  </w:style>
  <w:style w:type="paragraph" w:styleId="BalloonText">
    <w:name w:val="Balloon Text"/>
    <w:basedOn w:val="Normal"/>
    <w:link w:val="BalloonTextChar"/>
    <w:uiPriority w:val="99"/>
    <w:semiHidden/>
    <w:unhideWhenUsed/>
    <w:rsid w:val="00907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12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pearson, darrell, CV, curriculum, vita, bainbridge, college, president</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pearson, darrell, CV, curriculum, vita, bainbridge, college, president</dc:title>
  <dc:subject>pearson, darrell, CV, curriculum, vita, bainbridge, college, president</dc:subject>
  <dc:creator>Nacasius Ujah</dc:creator>
  <cp:keywords>pearson, darrell, CV, curriculum, vita, bainbridge, college, president</cp:keywords>
  <cp:lastModifiedBy>Ujah, Nacasius</cp:lastModifiedBy>
  <cp:revision>2</cp:revision>
  <cp:lastPrinted>2017-09-15T21:52:00Z</cp:lastPrinted>
  <dcterms:created xsi:type="dcterms:W3CDTF">2018-07-26T23:05:00Z</dcterms:created>
  <dcterms:modified xsi:type="dcterms:W3CDTF">2018-07-26T23:05:00Z</dcterms:modified>
</cp:coreProperties>
</file>